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69" w:rsidRDefault="00EE4A69" w:rsidP="00EE4A69">
      <w:pPr>
        <w:jc w:val="right"/>
        <w:rPr>
          <w:sz w:val="24"/>
        </w:rPr>
      </w:pPr>
      <w:r w:rsidRPr="00DC3C03">
        <w:rPr>
          <w:rFonts w:hint="eastAsia"/>
          <w:sz w:val="24"/>
        </w:rPr>
        <w:t>別紙</w:t>
      </w:r>
    </w:p>
    <w:p w:rsidR="00DC3C03" w:rsidRPr="00DC3C03" w:rsidRDefault="00DC3C03" w:rsidP="00EE4A69">
      <w:pPr>
        <w:jc w:val="right"/>
        <w:rPr>
          <w:sz w:val="24"/>
        </w:rPr>
      </w:pPr>
    </w:p>
    <w:p w:rsidR="00CB1196" w:rsidRPr="00EE4A69" w:rsidRDefault="00EE4A69" w:rsidP="00EE4A69">
      <w:pPr>
        <w:jc w:val="center"/>
        <w:rPr>
          <w:rFonts w:asciiTheme="majorEastAsia" w:eastAsiaTheme="majorEastAsia" w:hAnsiTheme="majorEastAsia"/>
          <w:b/>
          <w:sz w:val="24"/>
        </w:rPr>
      </w:pPr>
      <w:r w:rsidRPr="00EE4A69">
        <w:rPr>
          <w:rFonts w:asciiTheme="majorEastAsia" w:eastAsiaTheme="majorEastAsia" w:hAnsiTheme="majorEastAsia" w:hint="eastAsia"/>
          <w:b/>
          <w:sz w:val="24"/>
        </w:rPr>
        <w:t>高齢者福祉サービス</w:t>
      </w:r>
      <w:r w:rsidR="009B22C9">
        <w:rPr>
          <w:rFonts w:asciiTheme="majorEastAsia" w:eastAsiaTheme="majorEastAsia" w:hAnsiTheme="majorEastAsia" w:hint="eastAsia"/>
          <w:b/>
          <w:sz w:val="24"/>
        </w:rPr>
        <w:t>事業所等における</w:t>
      </w:r>
      <w:r w:rsidRPr="00EE4A69">
        <w:rPr>
          <w:rFonts w:asciiTheme="majorEastAsia" w:eastAsiaTheme="majorEastAsia" w:hAnsiTheme="majorEastAsia" w:hint="eastAsia"/>
          <w:b/>
          <w:sz w:val="24"/>
        </w:rPr>
        <w:t>第三者評価共通評価基準の解説版について</w:t>
      </w:r>
    </w:p>
    <w:p w:rsidR="00DC3C03" w:rsidRDefault="00DC3C03" w:rsidP="00EE4A69">
      <w:pPr>
        <w:rPr>
          <w:rFonts w:asciiTheme="majorEastAsia" w:eastAsiaTheme="majorEastAsia" w:hAnsiTheme="majorEastAsia"/>
          <w:sz w:val="24"/>
          <w:szCs w:val="24"/>
        </w:rPr>
      </w:pPr>
    </w:p>
    <w:p w:rsidR="00812245" w:rsidRDefault="00812245" w:rsidP="00EE4A69">
      <w:pPr>
        <w:rPr>
          <w:rFonts w:asciiTheme="majorEastAsia" w:eastAsiaTheme="majorEastAsia" w:hAnsiTheme="majorEastAsia"/>
          <w:sz w:val="24"/>
          <w:szCs w:val="24"/>
        </w:rPr>
      </w:pPr>
    </w:p>
    <w:p w:rsidR="00EE4A69" w:rsidRPr="00226DD0" w:rsidRDefault="00EE4A69" w:rsidP="00226DD0">
      <w:pPr>
        <w:ind w:left="220" w:hangingChars="100" w:hanging="220"/>
        <w:rPr>
          <w:rFonts w:asciiTheme="majorEastAsia" w:eastAsiaTheme="majorEastAsia" w:hAnsiTheme="majorEastAsia"/>
          <w:sz w:val="22"/>
        </w:rPr>
      </w:pPr>
      <w:r w:rsidRPr="00226DD0">
        <w:rPr>
          <w:rFonts w:asciiTheme="majorEastAsia" w:eastAsiaTheme="majorEastAsia" w:hAnsiTheme="majorEastAsia" w:hint="eastAsia"/>
          <w:sz w:val="22"/>
        </w:rPr>
        <w:t>※　高齢者福祉サービス</w:t>
      </w:r>
      <w:r w:rsidR="00682A45">
        <w:rPr>
          <w:rFonts w:asciiTheme="majorEastAsia" w:eastAsiaTheme="majorEastAsia" w:hAnsiTheme="majorEastAsia" w:hint="eastAsia"/>
          <w:sz w:val="22"/>
        </w:rPr>
        <w:t>事業所等</w:t>
      </w:r>
      <w:r w:rsidR="00DC3C03" w:rsidRPr="00226DD0">
        <w:rPr>
          <w:rFonts w:asciiTheme="majorEastAsia" w:eastAsiaTheme="majorEastAsia" w:hAnsiTheme="majorEastAsia" w:hint="eastAsia"/>
          <w:sz w:val="22"/>
        </w:rPr>
        <w:t>（特別養護老人ホーム、通所介護、訪問介護、養護老人ホーム、軽費老人ホーム）での評価が効果的に行えるように、共通評価基準ガイドライン（平成26年4月1日）の趣旨が変わらぬように配慮して、以下のように内容の加筆・削除、高齢者福祉サービス独自の内容の付加を行っている。</w:t>
      </w:r>
    </w:p>
    <w:p w:rsidR="00DC3C03" w:rsidRPr="00226DD0" w:rsidRDefault="00DC3C03" w:rsidP="00226DD0">
      <w:pPr>
        <w:ind w:left="220" w:hangingChars="100" w:hanging="220"/>
        <w:rPr>
          <w:rFonts w:asciiTheme="majorEastAsia" w:eastAsiaTheme="majorEastAsia" w:hAnsiTheme="majorEastAsia"/>
          <w:sz w:val="22"/>
        </w:rPr>
      </w:pPr>
    </w:p>
    <w:p w:rsidR="00DC3C03" w:rsidRPr="00226DD0" w:rsidRDefault="00DC3C03" w:rsidP="00226DD0">
      <w:pPr>
        <w:ind w:left="220" w:hangingChars="100" w:hanging="220"/>
        <w:rPr>
          <w:rFonts w:asciiTheme="majorEastAsia" w:eastAsiaTheme="majorEastAsia" w:hAnsiTheme="majorEastAsia"/>
          <w:sz w:val="22"/>
        </w:rPr>
      </w:pPr>
      <w:r w:rsidRPr="00226DD0">
        <w:rPr>
          <w:rFonts w:asciiTheme="majorEastAsia" w:eastAsiaTheme="majorEastAsia" w:hAnsiTheme="majorEastAsia" w:hint="eastAsia"/>
          <w:sz w:val="22"/>
        </w:rPr>
        <w:t xml:space="preserve">　a：基準内の番号と箇所を示したあとに加筆・削除を行った部分のみを示す。</w:t>
      </w:r>
    </w:p>
    <w:p w:rsidR="00DC3C03" w:rsidRPr="00226DD0" w:rsidRDefault="00DC3C03" w:rsidP="00226DD0">
      <w:pPr>
        <w:ind w:left="220" w:hangingChars="100" w:hanging="220"/>
        <w:rPr>
          <w:rFonts w:asciiTheme="majorEastAsia" w:eastAsiaTheme="majorEastAsia" w:hAnsiTheme="majorEastAsia"/>
          <w:sz w:val="22"/>
        </w:rPr>
      </w:pPr>
      <w:r w:rsidRPr="00226DD0">
        <w:rPr>
          <w:rFonts w:asciiTheme="majorEastAsia" w:eastAsiaTheme="majorEastAsia" w:hAnsiTheme="majorEastAsia" w:hint="eastAsia"/>
          <w:sz w:val="22"/>
        </w:rPr>
        <w:t xml:space="preserve">　b：下線部は言葉の置き換え・加筆部分、消し線は削除部分となる。</w:t>
      </w:r>
    </w:p>
    <w:p w:rsidR="000642EE" w:rsidRPr="00226DD0" w:rsidRDefault="000642EE" w:rsidP="00226DD0">
      <w:pPr>
        <w:ind w:left="220" w:hangingChars="100" w:hanging="220"/>
        <w:rPr>
          <w:rFonts w:asciiTheme="majorEastAsia" w:eastAsiaTheme="majorEastAsia" w:hAnsiTheme="majorEastAsia"/>
          <w:sz w:val="22"/>
        </w:rPr>
      </w:pPr>
      <w:bookmarkStart w:id="0" w:name="_GoBack"/>
      <w:bookmarkEnd w:id="0"/>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0642EE">
      <w:pPr>
        <w:rPr>
          <w:rFonts w:asciiTheme="majorEastAsia" w:eastAsiaTheme="majorEastAsia" w:hAnsiTheme="majorEastAsia"/>
          <w:b/>
          <w:sz w:val="22"/>
        </w:rPr>
      </w:pPr>
      <w:r w:rsidRPr="00226DD0">
        <w:rPr>
          <w:rFonts w:asciiTheme="majorEastAsia" w:eastAsiaTheme="majorEastAsia" w:hAnsiTheme="majorEastAsia" w:hint="eastAsia"/>
          <w:b/>
          <w:sz w:val="22"/>
          <w:bdr w:val="single" w:sz="4" w:space="0" w:color="auto"/>
        </w:rPr>
        <w:t>1</w:t>
      </w:r>
      <w:r w:rsidRPr="00226DD0">
        <w:rPr>
          <w:rFonts w:asciiTheme="majorEastAsia" w:eastAsiaTheme="majorEastAsia" w:hAnsiTheme="majorEastAsia" w:hint="eastAsia"/>
          <w:b/>
          <w:sz w:val="22"/>
        </w:rPr>
        <w:t xml:space="preserve">　Ⅰ-１-(１)-①　</w:t>
      </w:r>
      <w:r w:rsidRPr="00226DD0">
        <w:rPr>
          <w:rFonts w:asciiTheme="majorEastAsia" w:eastAsiaTheme="majorEastAsia" w:hAnsiTheme="majorEastAsia" w:cs="Times New Roman" w:hint="eastAsia"/>
          <w:b/>
          <w:kern w:val="0"/>
          <w:sz w:val="22"/>
        </w:rPr>
        <w:t>評価の留意点</w:t>
      </w:r>
    </w:p>
    <w:p w:rsidR="000642EE" w:rsidRPr="00226DD0" w:rsidRDefault="000642EE" w:rsidP="000642EE">
      <w:pPr>
        <w:widowControl/>
        <w:ind w:left="220" w:hangingChars="100" w:hanging="220"/>
        <w:jc w:val="left"/>
        <w:rPr>
          <w:rFonts w:asciiTheme="majorEastAsia" w:eastAsiaTheme="majorEastAsia" w:hAnsiTheme="majorEastAsia" w:cs="Times New Roman"/>
          <w:kern w:val="0"/>
          <w:sz w:val="22"/>
        </w:rPr>
      </w:pPr>
    </w:p>
    <w:p w:rsidR="000642EE" w:rsidRPr="00226DD0" w:rsidRDefault="000642EE" w:rsidP="000642EE">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○利用者や家族等への周知については、（略）周知の方法に配慮しているかどうかについても評価の対象となります。</w:t>
      </w:r>
      <w:r w:rsidRPr="00226DD0">
        <w:rPr>
          <w:rFonts w:asciiTheme="majorEastAsia" w:eastAsiaTheme="majorEastAsia" w:hAnsiTheme="majorEastAsia" w:cs="Times New Roman" w:hint="eastAsia"/>
          <w:strike/>
          <w:kern w:val="0"/>
          <w:sz w:val="22"/>
        </w:rPr>
        <w:t>高齢者や障害のある利用者に対しては、</w:t>
      </w:r>
      <w:r w:rsidRPr="00226DD0">
        <w:rPr>
          <w:rFonts w:asciiTheme="majorEastAsia" w:eastAsiaTheme="majorEastAsia" w:hAnsiTheme="majorEastAsia" w:cs="Times New Roman" w:hint="eastAsia"/>
          <w:kern w:val="0"/>
          <w:sz w:val="22"/>
        </w:rPr>
        <w:t>職員に対する方法とは違った工夫も求められます。</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0642EE" w:rsidRPr="00226DD0" w:rsidRDefault="000642EE" w:rsidP="000642EE">
      <w:pPr>
        <w:ind w:left="220" w:hangingChars="100" w:hanging="220"/>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認知機能の低下などが見られる利用者に対して、わかりやすい資料の作成、いつでも閲覧できるようにする等の取組や個別の説明が行われているかを確認します。</w:t>
      </w:r>
    </w:p>
    <w:p w:rsidR="000642EE" w:rsidRPr="00226DD0" w:rsidRDefault="000642EE" w:rsidP="000642EE">
      <w:pPr>
        <w:ind w:left="220" w:hangingChars="100" w:hanging="220"/>
        <w:rPr>
          <w:rFonts w:asciiTheme="majorEastAsia" w:eastAsiaTheme="majorEastAsia" w:hAnsiTheme="majorEastAsia" w:cs="Times New Roman"/>
          <w:kern w:val="0"/>
          <w:sz w:val="22"/>
        </w:rPr>
      </w:pPr>
    </w:p>
    <w:p w:rsidR="000642EE" w:rsidRPr="00226DD0" w:rsidRDefault="000642EE" w:rsidP="000642EE">
      <w:pPr>
        <w:ind w:left="220" w:hangingChars="100" w:hanging="220"/>
        <w:rPr>
          <w:rFonts w:asciiTheme="majorEastAsia" w:eastAsiaTheme="majorEastAsia" w:hAnsiTheme="majorEastAsia" w:cs="Times New Roman"/>
          <w:kern w:val="0"/>
          <w:sz w:val="22"/>
        </w:rPr>
      </w:pPr>
    </w:p>
    <w:p w:rsidR="000642EE" w:rsidRPr="00226DD0" w:rsidRDefault="000642EE" w:rsidP="000642EE">
      <w:pPr>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4</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Ⅰ-３-(１)-①　</w:t>
      </w:r>
      <w:r w:rsidRPr="00226DD0">
        <w:rPr>
          <w:rFonts w:asciiTheme="majorEastAsia" w:eastAsiaTheme="majorEastAsia" w:hAnsiTheme="majorEastAsia" w:cs="Times New Roman" w:hint="eastAsia"/>
          <w:b/>
          <w:kern w:val="0"/>
          <w:sz w:val="22"/>
        </w:rPr>
        <w:t>評価の留意点</w:t>
      </w:r>
    </w:p>
    <w:p w:rsidR="000642EE" w:rsidRPr="00226DD0" w:rsidRDefault="000642EE" w:rsidP="000642EE">
      <w:pPr>
        <w:ind w:left="220" w:hangingChars="100" w:hanging="220"/>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0642EE" w:rsidRPr="00226DD0" w:rsidRDefault="000642EE" w:rsidP="000642EE">
      <w:pPr>
        <w:ind w:left="220" w:hangingChars="100" w:hanging="220"/>
        <w:rPr>
          <w:rFonts w:asciiTheme="majorEastAsia" w:eastAsiaTheme="majorEastAsia" w:hAnsiTheme="majorEastAsia" w:cs="Times New Roman"/>
          <w:kern w:val="0"/>
          <w:sz w:val="22"/>
          <w:u w:val="single"/>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公立施設については、管理者に与えられた職掌の範囲内を考慮したうえで、本評価基準の基本的考え方にそった具体的な取組を評価します。</w:t>
      </w: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0642EE">
      <w:pPr>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20</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Ⅱ-２-(４)-①</w:t>
      </w:r>
      <w:r w:rsidRPr="00226DD0">
        <w:rPr>
          <w:rFonts w:asciiTheme="majorEastAsia" w:eastAsiaTheme="majorEastAsia" w:hAnsiTheme="majorEastAsia" w:cs="Times New Roman" w:hint="eastAsia"/>
          <w:b/>
          <w:kern w:val="0"/>
          <w:sz w:val="22"/>
        </w:rPr>
        <w:t xml:space="preserve">　評価の留意点</w:t>
      </w: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0642EE" w:rsidRPr="00226DD0" w:rsidRDefault="000642EE" w:rsidP="000642EE">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実習生等の研修・育成に関わる実績がない場合には、受入体制の整備やプログラムの準備状況、指導者に対する研修の実施状況等をもって評価します。</w:t>
      </w:r>
    </w:p>
    <w:p w:rsidR="000642EE"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lastRenderedPageBreak/>
        <w:t>（訪問介護）</w:t>
      </w:r>
    </w:p>
    <w:p w:rsidR="000642EE" w:rsidRPr="00226DD0" w:rsidRDefault="000642EE" w:rsidP="000642EE">
      <w:pPr>
        <w:ind w:left="220" w:hangingChars="100" w:hanging="220"/>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実習生等の受入を行っていない場合は、「非該当」とすることができます。</w:t>
      </w: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0642EE">
      <w:pPr>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23</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Ⅱ-４-(１)-①　</w:t>
      </w:r>
      <w:r w:rsidRPr="00226DD0">
        <w:rPr>
          <w:rFonts w:asciiTheme="majorEastAsia" w:eastAsiaTheme="majorEastAsia" w:hAnsiTheme="majorEastAsia" w:cs="Times New Roman" w:hint="eastAsia"/>
          <w:b/>
          <w:kern w:val="0"/>
          <w:sz w:val="22"/>
        </w:rPr>
        <w:t>評価の留意点</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0642EE" w:rsidRPr="00226DD0" w:rsidRDefault="000642EE" w:rsidP="000642EE">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0642EE" w:rsidRPr="00226DD0" w:rsidRDefault="000642EE" w:rsidP="000642EE">
      <w:pPr>
        <w:ind w:left="220" w:hangingChars="100" w:hanging="220"/>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着眼点「福祉施設・事業所や利用者への理解を得るために、地域の人々と利用者との交流の機会を定期的に設けている。」は適用しません。</w:t>
      </w: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0642EE">
      <w:pPr>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24</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Ⅱ-４-(１)-②　</w:t>
      </w:r>
      <w:r w:rsidRPr="00226DD0">
        <w:rPr>
          <w:rFonts w:asciiTheme="majorEastAsia" w:eastAsiaTheme="majorEastAsia" w:hAnsiTheme="majorEastAsia" w:cs="Times New Roman" w:hint="eastAsia"/>
          <w:b/>
          <w:kern w:val="0"/>
          <w:sz w:val="22"/>
        </w:rPr>
        <w:t>評価の留意点</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0642EE" w:rsidRPr="00226DD0" w:rsidRDefault="000642EE" w:rsidP="000642EE">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ボランティアの受入等の実績がない場合には、受入体制の整備やマニュアルの準備状況、学校教育への協力等をもって評価します。</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0642EE" w:rsidRPr="00226DD0" w:rsidRDefault="000642EE" w:rsidP="000642EE">
      <w:pPr>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ボランティアの受入等を行っていない場合は、「非該当」とすることができます。</w:t>
      </w: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0642EE">
      <w:pPr>
        <w:widowControl/>
        <w:jc w:val="left"/>
        <w:rPr>
          <w:rFonts w:asciiTheme="majorEastAsia" w:eastAsiaTheme="majorEastAsia" w:hAnsiTheme="majorEastAsia" w:cs="Times New Roman"/>
          <w:b/>
          <w:kern w:val="0"/>
          <w:sz w:val="22"/>
        </w:rPr>
      </w:pPr>
      <w:r w:rsidRPr="00226DD0">
        <w:rPr>
          <w:rFonts w:asciiTheme="majorEastAsia" w:eastAsiaTheme="majorEastAsia" w:hAnsiTheme="majorEastAsia" w:cs="Times New Roman" w:hint="eastAsia"/>
          <w:b/>
          <w:color w:val="000000" w:themeColor="text1"/>
          <w:kern w:val="0"/>
          <w:sz w:val="22"/>
          <w:bdr w:val="single" w:sz="4" w:space="0" w:color="auto"/>
        </w:rPr>
        <w:t>25</w:t>
      </w:r>
      <w:r w:rsidRPr="00226DD0">
        <w:rPr>
          <w:rFonts w:asciiTheme="majorEastAsia" w:eastAsiaTheme="majorEastAsia" w:hAnsiTheme="majorEastAsia" w:cs="Times New Roman" w:hint="eastAsia"/>
          <w:b/>
          <w:color w:val="000000" w:themeColor="text1"/>
          <w:kern w:val="0"/>
          <w:sz w:val="22"/>
        </w:rPr>
        <w:t xml:space="preserve">　</w:t>
      </w:r>
      <w:r w:rsidRPr="00226DD0">
        <w:rPr>
          <w:rFonts w:asciiTheme="majorEastAsia" w:eastAsiaTheme="majorEastAsia" w:hAnsiTheme="majorEastAsia" w:hint="eastAsia"/>
          <w:b/>
          <w:sz w:val="22"/>
        </w:rPr>
        <w:t xml:space="preserve">Ⅱ-４-(２)-①　</w:t>
      </w:r>
      <w:r w:rsidRPr="00226DD0">
        <w:rPr>
          <w:rFonts w:asciiTheme="majorEastAsia" w:eastAsiaTheme="majorEastAsia" w:hAnsiTheme="majorEastAsia" w:cs="Times New Roman" w:hint="eastAsia"/>
          <w:b/>
          <w:kern w:val="0"/>
          <w:sz w:val="22"/>
        </w:rPr>
        <w:t>趣旨・解説</w:t>
      </w:r>
    </w:p>
    <w:p w:rsidR="000642EE" w:rsidRPr="00226DD0" w:rsidRDefault="000642EE" w:rsidP="000642EE">
      <w:pPr>
        <w:widowControl/>
        <w:ind w:left="440" w:hangingChars="200" w:hanging="440"/>
        <w:jc w:val="left"/>
        <w:rPr>
          <w:rFonts w:asciiTheme="majorEastAsia" w:eastAsiaTheme="majorEastAsia" w:hAnsiTheme="majorEastAsia" w:cs="Times New Roman"/>
          <w:kern w:val="0"/>
          <w:sz w:val="22"/>
        </w:rPr>
      </w:pPr>
    </w:p>
    <w:p w:rsidR="000642EE" w:rsidRPr="00226DD0" w:rsidRDefault="000642EE" w:rsidP="000642EE">
      <w:pPr>
        <w:widowControl/>
        <w:ind w:left="440" w:hangingChars="200" w:hanging="44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0642EE" w:rsidRPr="00226DD0" w:rsidRDefault="000642EE" w:rsidP="000642EE">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○ここで言う「必要な社会資源」とは、利用者へのサービスの質の向上のために連携が必要な機関や団体を指し、具体的には、</w:t>
      </w:r>
      <w:r w:rsidRPr="00226DD0">
        <w:rPr>
          <w:rFonts w:asciiTheme="majorEastAsia" w:eastAsiaTheme="majorEastAsia" w:hAnsiTheme="majorEastAsia" w:cs="Times New Roman" w:hint="eastAsia"/>
          <w:kern w:val="0"/>
          <w:sz w:val="22"/>
          <w:u w:val="single"/>
        </w:rPr>
        <w:t>地域包括支援センター</w:t>
      </w:r>
      <w:r w:rsidRPr="00226DD0">
        <w:rPr>
          <w:rFonts w:asciiTheme="majorEastAsia" w:eastAsiaTheme="majorEastAsia" w:hAnsiTheme="majorEastAsia" w:cs="Times New Roman" w:hint="eastAsia"/>
          <w:kern w:val="0"/>
          <w:sz w:val="22"/>
        </w:rPr>
        <w:t>、福祉事務所、児童相談所、保健所、公共職業安定所、病院</w:t>
      </w:r>
      <w:r w:rsidRPr="00226DD0">
        <w:rPr>
          <w:rFonts w:asciiTheme="majorEastAsia" w:eastAsiaTheme="majorEastAsia" w:hAnsiTheme="majorEastAsia" w:cs="Times New Roman" w:hint="eastAsia"/>
          <w:kern w:val="0"/>
          <w:sz w:val="22"/>
          <w:u w:val="single"/>
        </w:rPr>
        <w:t>（医療機関）</w:t>
      </w:r>
      <w:r w:rsidRPr="00226DD0">
        <w:rPr>
          <w:rFonts w:asciiTheme="majorEastAsia" w:eastAsiaTheme="majorEastAsia" w:hAnsiTheme="majorEastAsia" w:cs="Times New Roman" w:hint="eastAsia"/>
          <w:kern w:val="0"/>
          <w:sz w:val="22"/>
        </w:rPr>
        <w:t>、学校</w:t>
      </w:r>
      <w:r w:rsidRPr="00226DD0">
        <w:rPr>
          <w:rFonts w:asciiTheme="majorEastAsia" w:eastAsiaTheme="majorEastAsia" w:hAnsiTheme="majorEastAsia" w:cs="Times New Roman" w:hint="eastAsia"/>
          <w:kern w:val="0"/>
          <w:sz w:val="22"/>
          <w:u w:val="single"/>
        </w:rPr>
        <w:t>（教育機関）</w:t>
      </w: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社会福祉協議会、民生委員・児童委員、弁護士、警察、</w:t>
      </w:r>
      <w:r w:rsidRPr="00226DD0">
        <w:rPr>
          <w:rFonts w:asciiTheme="majorEastAsia" w:eastAsiaTheme="majorEastAsia" w:hAnsiTheme="majorEastAsia" w:cs="Times New Roman" w:hint="eastAsia"/>
          <w:kern w:val="0"/>
          <w:sz w:val="22"/>
        </w:rPr>
        <w:t>地域内の他の事業所やボランティア団体、各種自助組織等が挙げられます。</w:t>
      </w:r>
    </w:p>
    <w:p w:rsidR="000642EE" w:rsidRPr="00226DD0" w:rsidRDefault="000642EE" w:rsidP="000642EE">
      <w:pPr>
        <w:rPr>
          <w:rFonts w:asciiTheme="majorEastAsia" w:eastAsiaTheme="majorEastAsia" w:hAnsiTheme="majorEastAsia"/>
          <w:sz w:val="22"/>
        </w:rPr>
      </w:pPr>
    </w:p>
    <w:p w:rsidR="000642EE" w:rsidRPr="00226DD0" w:rsidRDefault="000642EE" w:rsidP="000642EE">
      <w:pPr>
        <w:widowControl/>
        <w:ind w:left="440" w:hangingChars="200" w:hanging="44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0642EE" w:rsidRPr="00226DD0" w:rsidRDefault="000642EE" w:rsidP="000642EE">
      <w:pPr>
        <w:ind w:left="220" w:hangingChars="100" w:hanging="220"/>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介護予防・日常生活支援総合事業の実施等により、多様な主体によるサービス提供が行われています。それらの実施状況を踏まえ、連携にあたり地域の実情にあわせて、制度外の</w:t>
      </w:r>
      <w:r w:rsidRPr="00226DD0">
        <w:rPr>
          <w:rFonts w:asciiTheme="majorEastAsia" w:eastAsiaTheme="majorEastAsia" w:hAnsiTheme="majorEastAsia" w:cs="Times New Roman" w:hint="eastAsia"/>
          <w:kern w:val="0"/>
          <w:sz w:val="22"/>
          <w:u w:val="single"/>
        </w:rPr>
        <w:lastRenderedPageBreak/>
        <w:t>サービスを含めて考える必要があります。</w:t>
      </w: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0642EE">
      <w:pPr>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26</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Ⅱ-４-(３)-①　</w:t>
      </w:r>
      <w:r w:rsidRPr="00226DD0">
        <w:rPr>
          <w:rFonts w:asciiTheme="majorEastAsia" w:eastAsiaTheme="majorEastAsia" w:hAnsiTheme="majorEastAsia" w:cs="Times New Roman" w:hint="eastAsia"/>
          <w:b/>
          <w:kern w:val="0"/>
          <w:sz w:val="22"/>
        </w:rPr>
        <w:t>評価の留意点</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（通所介護）</w:t>
      </w:r>
    </w:p>
    <w:p w:rsidR="000642EE" w:rsidRPr="00226DD0" w:rsidRDefault="000642EE" w:rsidP="000642EE">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着眼点「福祉施設・事業所のスペースを活用して地域住民との交流を意図した取組を行っている。」は、福祉施設・事業所の設備の状況等により、適用しないことができます。</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0642EE" w:rsidRPr="00226DD0" w:rsidRDefault="000642EE" w:rsidP="000642EE">
      <w:pPr>
        <w:ind w:left="220" w:hangingChars="100" w:hanging="220"/>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着眼点「福祉施設・事業所のスペースを活用して地域住民との交流を意図した取組を行っている。」は適用しません。</w:t>
      </w:r>
    </w:p>
    <w:p w:rsidR="000642EE" w:rsidRPr="00226DD0" w:rsidRDefault="000642EE" w:rsidP="000642EE">
      <w:pPr>
        <w:ind w:left="220" w:hangingChars="100" w:hanging="220"/>
        <w:rPr>
          <w:rFonts w:asciiTheme="majorEastAsia" w:eastAsiaTheme="majorEastAsia" w:hAnsiTheme="majorEastAsia" w:cs="Times New Roman"/>
          <w:kern w:val="0"/>
          <w:sz w:val="22"/>
        </w:rPr>
      </w:pP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226DD0">
      <w:pPr>
        <w:ind w:left="221" w:hangingChars="100" w:hanging="221"/>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27</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Ⅱ-４-(３)-②　</w:t>
      </w:r>
      <w:r w:rsidRPr="00226DD0">
        <w:rPr>
          <w:rFonts w:asciiTheme="majorEastAsia" w:eastAsiaTheme="majorEastAsia" w:hAnsiTheme="majorEastAsia" w:cs="Times New Roman" w:hint="eastAsia"/>
          <w:b/>
          <w:kern w:val="0"/>
          <w:sz w:val="22"/>
        </w:rPr>
        <w:t>評価の留意点</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（通所介護、訪問介護）</w:t>
      </w:r>
    </w:p>
    <w:p w:rsidR="000642EE" w:rsidRPr="00226DD0" w:rsidRDefault="000642EE" w:rsidP="000642EE">
      <w:pPr>
        <w:ind w:left="220" w:hangingChars="100" w:hanging="220"/>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民生委員・児童委員等と定期的な会議を開催するなどによって、具体的な福祉ニーズの把握に努めている。」及び「地域住民に対する相談事業を実施するなどを通じて、多様な相談に応じる機能を有している。」は、福祉施設・事業所の状況等により、適用しないことができます。</w:t>
      </w: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226DD0">
      <w:pPr>
        <w:ind w:left="220" w:hangingChars="100" w:hanging="220"/>
        <w:rPr>
          <w:rFonts w:asciiTheme="majorEastAsia" w:eastAsiaTheme="majorEastAsia" w:hAnsiTheme="majorEastAsia"/>
          <w:sz w:val="22"/>
        </w:rPr>
      </w:pPr>
    </w:p>
    <w:p w:rsidR="000642EE" w:rsidRPr="00226DD0" w:rsidRDefault="000642EE" w:rsidP="000642EE">
      <w:pPr>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28</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Ⅲ-１-(１)-①　</w:t>
      </w:r>
      <w:r w:rsidRPr="00226DD0">
        <w:rPr>
          <w:rFonts w:asciiTheme="majorEastAsia" w:eastAsiaTheme="majorEastAsia" w:hAnsiTheme="majorEastAsia" w:cs="Times New Roman" w:hint="eastAsia"/>
          <w:b/>
          <w:kern w:val="0"/>
          <w:sz w:val="22"/>
        </w:rPr>
        <w:t>評価の留意点</w:t>
      </w:r>
    </w:p>
    <w:p w:rsidR="000642EE" w:rsidRPr="00226DD0" w:rsidRDefault="000642EE" w:rsidP="000642EE">
      <w:pPr>
        <w:widowControl/>
        <w:jc w:val="left"/>
        <w:rPr>
          <w:rFonts w:asciiTheme="majorEastAsia" w:eastAsiaTheme="majorEastAsia" w:hAnsiTheme="majorEastAsia" w:cs="Times New Roman"/>
          <w:kern w:val="0"/>
          <w:sz w:val="22"/>
        </w:rPr>
      </w:pPr>
    </w:p>
    <w:p w:rsidR="000642EE" w:rsidRPr="00226DD0" w:rsidRDefault="000642EE" w:rsidP="000642EE">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0642EE" w:rsidRPr="00226DD0" w:rsidRDefault="000642EE" w:rsidP="000642EE">
      <w:pPr>
        <w:ind w:left="220" w:hangingChars="100" w:hanging="220"/>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利用者の権利擁護のため、虐待等の権利侵害の防止、発生時の対応等の徹底については、内容評価基準（</w:t>
      </w:r>
      <w:r w:rsidRPr="00226DD0">
        <w:rPr>
          <w:rFonts w:asciiTheme="majorEastAsia" w:eastAsiaTheme="majorEastAsia" w:hAnsiTheme="majorEastAsia" w:cs="Times New Roman" w:hint="eastAsia"/>
          <w:kern w:val="0"/>
          <w:sz w:val="22"/>
          <w:u w:val="single"/>
          <w:bdr w:val="single" w:sz="4" w:space="0" w:color="auto"/>
        </w:rPr>
        <w:t>Ａ⑤</w:t>
      </w:r>
      <w:r w:rsidRPr="00226DD0">
        <w:rPr>
          <w:rFonts w:asciiTheme="majorEastAsia" w:eastAsiaTheme="majorEastAsia" w:hAnsiTheme="majorEastAsia" w:cs="Times New Roman" w:hint="eastAsia"/>
          <w:kern w:val="0"/>
          <w:sz w:val="22"/>
          <w:u w:val="single"/>
        </w:rPr>
        <w:t>Ａ-１-（２）-①）で評価します。</w:t>
      </w:r>
    </w:p>
    <w:p w:rsidR="000642EE" w:rsidRPr="00226DD0" w:rsidRDefault="000642EE" w:rsidP="000642EE">
      <w:pPr>
        <w:ind w:left="220" w:hangingChars="100" w:hanging="220"/>
        <w:rPr>
          <w:rFonts w:asciiTheme="majorEastAsia" w:eastAsiaTheme="majorEastAsia" w:hAnsiTheme="majorEastAsia" w:cs="Times New Roman"/>
          <w:kern w:val="0"/>
          <w:sz w:val="22"/>
        </w:rPr>
      </w:pPr>
    </w:p>
    <w:p w:rsidR="000642EE" w:rsidRPr="00226DD0" w:rsidRDefault="000642EE" w:rsidP="000642EE">
      <w:pPr>
        <w:ind w:left="220" w:hangingChars="100" w:hanging="220"/>
        <w:rPr>
          <w:rFonts w:asciiTheme="majorEastAsia" w:eastAsiaTheme="majorEastAsia" w:hAnsiTheme="majorEastAsia" w:cs="Times New Roman"/>
          <w:kern w:val="0"/>
          <w:sz w:val="22"/>
        </w:rPr>
      </w:pPr>
    </w:p>
    <w:p w:rsidR="00226DD0" w:rsidRPr="00226DD0" w:rsidRDefault="00226DD0" w:rsidP="00226DD0">
      <w:pPr>
        <w:rPr>
          <w:rFonts w:asciiTheme="majorEastAsia" w:eastAsiaTheme="majorEastAsia" w:hAnsiTheme="majorEastAsia"/>
          <w:b/>
          <w:sz w:val="22"/>
        </w:rPr>
      </w:pPr>
      <w:r w:rsidRPr="00226DD0">
        <w:rPr>
          <w:rFonts w:asciiTheme="majorEastAsia" w:eastAsiaTheme="majorEastAsia" w:hAnsiTheme="majorEastAsia" w:cs="Times New Roman" w:hint="eastAsia"/>
          <w:b/>
          <w:color w:val="000000" w:themeColor="text1"/>
          <w:kern w:val="0"/>
          <w:sz w:val="22"/>
          <w:bdr w:val="single" w:sz="4" w:space="0" w:color="auto"/>
        </w:rPr>
        <w:t>29</w:t>
      </w:r>
      <w:r w:rsidRPr="00226DD0">
        <w:rPr>
          <w:rFonts w:asciiTheme="majorEastAsia" w:eastAsiaTheme="majorEastAsia" w:hAnsiTheme="majorEastAsia" w:cs="Times New Roman" w:hint="eastAsia"/>
          <w:b/>
          <w:color w:val="000000" w:themeColor="text1"/>
          <w:kern w:val="0"/>
          <w:sz w:val="22"/>
        </w:rPr>
        <w:t xml:space="preserve">　</w:t>
      </w:r>
      <w:r w:rsidRPr="00226DD0">
        <w:rPr>
          <w:rFonts w:asciiTheme="majorEastAsia" w:eastAsiaTheme="majorEastAsia" w:hAnsiTheme="majorEastAsia" w:hint="eastAsia"/>
          <w:b/>
          <w:sz w:val="22"/>
        </w:rPr>
        <w:t xml:space="preserve">Ⅲ-１-(１)-②　</w:t>
      </w:r>
      <w:r w:rsidRPr="00226DD0">
        <w:rPr>
          <w:rFonts w:asciiTheme="majorEastAsia" w:eastAsiaTheme="majorEastAsia" w:hAnsiTheme="majorEastAsia" w:cs="Times New Roman" w:hint="eastAsia"/>
          <w:b/>
          <w:kern w:val="0"/>
          <w:sz w:val="22"/>
        </w:rPr>
        <w:t>評価の留意点</w:t>
      </w:r>
    </w:p>
    <w:p w:rsidR="000642EE" w:rsidRPr="00226DD0" w:rsidRDefault="000642EE" w:rsidP="000642EE">
      <w:pPr>
        <w:ind w:left="220" w:hangingChars="100" w:hanging="220"/>
        <w:rPr>
          <w:rFonts w:asciiTheme="majorEastAsia" w:eastAsiaTheme="majorEastAsia" w:hAnsiTheme="majorEastAsia" w:cs="Times New Roman"/>
          <w:kern w:val="0"/>
          <w:sz w:val="22"/>
        </w:rPr>
      </w:pPr>
    </w:p>
    <w:p w:rsidR="00226DD0" w:rsidRP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0642EE" w:rsidRPr="00226DD0" w:rsidRDefault="00226DD0" w:rsidP="00226DD0">
      <w:pPr>
        <w:ind w:left="220" w:hangingChars="100" w:hanging="220"/>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利用者の権利侵害の防止等に関する具体的な取組については、内容評価基準（</w:t>
      </w:r>
      <w:r w:rsidRPr="00226DD0">
        <w:rPr>
          <w:rFonts w:asciiTheme="majorEastAsia" w:eastAsiaTheme="majorEastAsia" w:hAnsiTheme="majorEastAsia" w:cs="Times New Roman" w:hint="eastAsia"/>
          <w:kern w:val="0"/>
          <w:sz w:val="22"/>
          <w:u w:val="single"/>
          <w:bdr w:val="single" w:sz="4" w:space="0" w:color="auto"/>
        </w:rPr>
        <w:t>Ａ⑤</w:t>
      </w:r>
      <w:r w:rsidRPr="00226DD0">
        <w:rPr>
          <w:rFonts w:asciiTheme="majorEastAsia" w:eastAsiaTheme="majorEastAsia" w:hAnsiTheme="majorEastAsia" w:cs="Times New Roman" w:hint="eastAsia"/>
          <w:kern w:val="0"/>
          <w:sz w:val="22"/>
          <w:u w:val="single"/>
        </w:rPr>
        <w:t>Ａ</w:t>
      </w:r>
      <w:r w:rsidRPr="00226DD0">
        <w:rPr>
          <w:rFonts w:asciiTheme="majorEastAsia" w:eastAsiaTheme="majorEastAsia" w:hAnsiTheme="majorEastAsia" w:cs="Times New Roman"/>
          <w:kern w:val="0"/>
          <w:sz w:val="22"/>
          <w:u w:val="single"/>
        </w:rPr>
        <w:t>-</w:t>
      </w:r>
      <w:r w:rsidRPr="00226DD0">
        <w:rPr>
          <w:rFonts w:asciiTheme="majorEastAsia" w:eastAsiaTheme="majorEastAsia" w:hAnsiTheme="majorEastAsia" w:cs="Times New Roman" w:hint="eastAsia"/>
          <w:kern w:val="0"/>
          <w:sz w:val="22"/>
          <w:u w:val="single"/>
        </w:rPr>
        <w:t>１</w:t>
      </w:r>
      <w:r w:rsidRPr="00226DD0">
        <w:rPr>
          <w:rFonts w:asciiTheme="majorEastAsia" w:eastAsiaTheme="majorEastAsia" w:hAnsiTheme="majorEastAsia" w:cs="Times New Roman"/>
          <w:kern w:val="0"/>
          <w:sz w:val="22"/>
          <w:u w:val="single"/>
        </w:rPr>
        <w:t>-</w:t>
      </w:r>
      <w:r w:rsidRPr="00226DD0">
        <w:rPr>
          <w:rFonts w:asciiTheme="majorEastAsia" w:eastAsiaTheme="majorEastAsia" w:hAnsiTheme="majorEastAsia" w:cs="Times New Roman" w:hint="eastAsia"/>
          <w:kern w:val="0"/>
          <w:sz w:val="22"/>
          <w:u w:val="single"/>
        </w:rPr>
        <w:t>（２）</w:t>
      </w:r>
      <w:r w:rsidRPr="00226DD0">
        <w:rPr>
          <w:rFonts w:asciiTheme="majorEastAsia" w:eastAsiaTheme="majorEastAsia" w:hAnsiTheme="majorEastAsia" w:cs="Times New Roman"/>
          <w:kern w:val="0"/>
          <w:sz w:val="22"/>
          <w:u w:val="single"/>
        </w:rPr>
        <w:t>-</w:t>
      </w:r>
      <w:r w:rsidRPr="00226DD0">
        <w:rPr>
          <w:rFonts w:asciiTheme="majorEastAsia" w:eastAsiaTheme="majorEastAsia" w:hAnsiTheme="majorEastAsia" w:cs="Times New Roman" w:hint="eastAsia"/>
          <w:kern w:val="0"/>
          <w:sz w:val="22"/>
          <w:u w:val="single"/>
        </w:rPr>
        <w:t>①）において評価します。</w:t>
      </w:r>
    </w:p>
    <w:p w:rsidR="000642EE" w:rsidRPr="00226DD0" w:rsidRDefault="000642EE" w:rsidP="000642EE">
      <w:pPr>
        <w:ind w:left="220" w:hangingChars="100" w:hanging="220"/>
        <w:rPr>
          <w:rFonts w:asciiTheme="majorEastAsia" w:eastAsiaTheme="majorEastAsia" w:hAnsiTheme="majorEastAsia" w:cs="Times New Roman"/>
          <w:kern w:val="0"/>
          <w:sz w:val="22"/>
        </w:rPr>
      </w:pPr>
    </w:p>
    <w:p w:rsidR="000642EE" w:rsidRPr="00226DD0" w:rsidRDefault="000642EE" w:rsidP="00226DD0">
      <w:pPr>
        <w:ind w:left="220" w:hangingChars="100" w:hanging="220"/>
        <w:rPr>
          <w:rFonts w:asciiTheme="majorEastAsia" w:eastAsiaTheme="majorEastAsia" w:hAnsiTheme="majorEastAsia"/>
          <w:sz w:val="22"/>
        </w:rPr>
      </w:pPr>
    </w:p>
    <w:p w:rsidR="00226DD0" w:rsidRPr="00226DD0" w:rsidRDefault="00226DD0" w:rsidP="00226DD0">
      <w:pPr>
        <w:ind w:left="220" w:hangingChars="100" w:hanging="220"/>
        <w:rPr>
          <w:rFonts w:asciiTheme="majorEastAsia" w:eastAsiaTheme="majorEastAsia" w:hAnsiTheme="majorEastAsia"/>
          <w:sz w:val="22"/>
        </w:rPr>
      </w:pPr>
    </w:p>
    <w:p w:rsidR="00226DD0" w:rsidRPr="00226DD0" w:rsidRDefault="00226DD0" w:rsidP="00226DD0">
      <w:pPr>
        <w:widowControl/>
        <w:jc w:val="left"/>
        <w:rPr>
          <w:rFonts w:asciiTheme="majorEastAsia" w:eastAsiaTheme="majorEastAsia" w:hAnsiTheme="majorEastAsia" w:cs="Times New Roman"/>
          <w:b/>
          <w:kern w:val="0"/>
          <w:sz w:val="22"/>
        </w:rPr>
      </w:pPr>
      <w:r w:rsidRPr="00226DD0">
        <w:rPr>
          <w:rFonts w:asciiTheme="majorEastAsia" w:eastAsiaTheme="majorEastAsia" w:hAnsiTheme="majorEastAsia" w:hint="eastAsia"/>
          <w:b/>
          <w:color w:val="000000" w:themeColor="text1"/>
          <w:sz w:val="22"/>
          <w:bdr w:val="single" w:sz="4" w:space="0" w:color="auto"/>
        </w:rPr>
        <w:lastRenderedPageBreak/>
        <w:t>30</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Ⅲ-１-(２)-①　</w:t>
      </w:r>
      <w:r w:rsidRPr="00226DD0">
        <w:rPr>
          <w:rFonts w:asciiTheme="majorEastAsia" w:eastAsiaTheme="majorEastAsia" w:hAnsiTheme="majorEastAsia" w:cs="Times New Roman" w:hint="eastAsia"/>
          <w:b/>
          <w:kern w:val="0"/>
          <w:sz w:val="22"/>
        </w:rPr>
        <w:t>評価の留意点</w:t>
      </w:r>
    </w:p>
    <w:p w:rsidR="00226DD0" w:rsidRPr="00226DD0" w:rsidRDefault="00226DD0" w:rsidP="00226DD0">
      <w:pPr>
        <w:rPr>
          <w:rFonts w:asciiTheme="majorEastAsia" w:eastAsiaTheme="majorEastAsia" w:hAnsiTheme="majorEastAsia"/>
          <w:sz w:val="22"/>
        </w:rPr>
      </w:pPr>
    </w:p>
    <w:p w:rsidR="00226DD0" w:rsidRP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226DD0" w:rsidRPr="00226DD0" w:rsidRDefault="00226DD0" w:rsidP="00226DD0">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着眼点「見学、体験入所、一日利用等の希望に対応している。」については、適用しません。</w:t>
      </w:r>
    </w:p>
    <w:p w:rsidR="000642EE" w:rsidRPr="00226DD0" w:rsidRDefault="000642EE" w:rsidP="000642EE">
      <w:pPr>
        <w:rPr>
          <w:rFonts w:asciiTheme="majorEastAsia" w:eastAsiaTheme="majorEastAsia" w:hAnsiTheme="majorEastAsia"/>
          <w:sz w:val="22"/>
        </w:rPr>
      </w:pPr>
    </w:p>
    <w:p w:rsidR="00226DD0" w:rsidRPr="00226DD0" w:rsidRDefault="00226DD0" w:rsidP="000642EE">
      <w:pPr>
        <w:rPr>
          <w:rFonts w:asciiTheme="majorEastAsia" w:eastAsiaTheme="majorEastAsia" w:hAnsiTheme="majorEastAsia"/>
          <w:sz w:val="22"/>
        </w:rPr>
      </w:pPr>
    </w:p>
    <w:p w:rsidR="00226DD0" w:rsidRPr="00226DD0" w:rsidRDefault="00226DD0" w:rsidP="00226DD0">
      <w:pPr>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33</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Ⅲ-１-(３)-①　</w:t>
      </w:r>
      <w:r w:rsidRPr="00226DD0">
        <w:rPr>
          <w:rFonts w:asciiTheme="majorEastAsia" w:eastAsiaTheme="majorEastAsia" w:hAnsiTheme="majorEastAsia" w:cs="Times New Roman" w:hint="eastAsia"/>
          <w:b/>
          <w:kern w:val="0"/>
          <w:sz w:val="22"/>
        </w:rPr>
        <w:t>評価の留意点</w:t>
      </w:r>
    </w:p>
    <w:p w:rsidR="00226DD0" w:rsidRPr="00226DD0" w:rsidRDefault="00226DD0" w:rsidP="00226DD0">
      <w:pPr>
        <w:widowControl/>
        <w:jc w:val="left"/>
        <w:rPr>
          <w:rFonts w:asciiTheme="majorEastAsia" w:eastAsiaTheme="majorEastAsia" w:hAnsiTheme="majorEastAsia" w:cs="Times New Roman"/>
          <w:kern w:val="0"/>
          <w:sz w:val="22"/>
        </w:rPr>
      </w:pPr>
    </w:p>
    <w:p w:rsidR="00226DD0" w:rsidRP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226DD0" w:rsidRPr="00226DD0" w:rsidRDefault="00226DD0" w:rsidP="00226DD0">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利用者満足の把握は、書面による調査や相談面接だけではなく、支援場面における利用者の満足の把握、日常的な会話等を通して利用者本人の意向をくみ取る等の取組を含めて評価します。</w:t>
      </w:r>
    </w:p>
    <w:p w:rsidR="00226DD0" w:rsidRPr="00226DD0" w:rsidRDefault="00226DD0" w:rsidP="00226DD0">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評価方法は、調査結果に関する分析や検討内容の記録、改善策の実施に関する記録等の書面や、訪問調査での具体的な取組の聴取等によって確認します。</w:t>
      </w:r>
    </w:p>
    <w:p w:rsidR="00226DD0" w:rsidRPr="00226DD0" w:rsidRDefault="00226DD0" w:rsidP="00226DD0">
      <w:pPr>
        <w:widowControl/>
        <w:jc w:val="left"/>
        <w:rPr>
          <w:rFonts w:asciiTheme="majorEastAsia" w:eastAsiaTheme="majorEastAsia" w:hAnsiTheme="majorEastAsia" w:cs="Times New Roman"/>
          <w:kern w:val="0"/>
          <w:sz w:val="22"/>
        </w:rPr>
      </w:pPr>
    </w:p>
    <w:p w:rsidR="00226DD0" w:rsidRP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（通所介護、訪問介護）</w:t>
      </w:r>
    </w:p>
    <w:p w:rsidR="00226DD0" w:rsidRPr="00226DD0" w:rsidRDefault="00226DD0" w:rsidP="00226DD0">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着眼点「職員等が、利用者満足を把握する目的で、利用者会や家族会等に出席している。」は、福祉施設・事業所の状況等により、適用しないことができます。</w:t>
      </w:r>
    </w:p>
    <w:p w:rsidR="00226DD0" w:rsidRPr="00226DD0" w:rsidRDefault="00226DD0" w:rsidP="00226DD0">
      <w:pPr>
        <w:widowControl/>
        <w:ind w:left="440" w:hangingChars="200" w:hanging="440"/>
        <w:jc w:val="left"/>
        <w:rPr>
          <w:rFonts w:asciiTheme="majorEastAsia" w:eastAsiaTheme="majorEastAsia" w:hAnsiTheme="majorEastAsia" w:cs="Times New Roman"/>
          <w:kern w:val="0"/>
          <w:sz w:val="22"/>
        </w:rPr>
      </w:pPr>
    </w:p>
    <w:p w:rsidR="00226DD0" w:rsidRPr="00226DD0" w:rsidRDefault="00226DD0" w:rsidP="00226DD0">
      <w:pPr>
        <w:widowControl/>
        <w:ind w:left="440" w:hangingChars="200" w:hanging="44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（特養、養護、軽費）</w:t>
      </w:r>
    </w:p>
    <w:p w:rsidR="00226DD0" w:rsidRPr="00226DD0" w:rsidRDefault="00226DD0" w:rsidP="00226DD0">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職員等が、利用者満足を把握する目的で、利用者会や家族会等に出席している。」は、利用者の意向や家族関係に十分配慮しながら、利用者本人や家族の意向をくみ取る取組を評価します。利用者会や家族会等の組織の有無を評価するものではありません。</w:t>
      </w:r>
    </w:p>
    <w:p w:rsidR="00226DD0" w:rsidRPr="00226DD0" w:rsidRDefault="00226DD0" w:rsidP="00226DD0">
      <w:pPr>
        <w:widowControl/>
        <w:ind w:left="440" w:hangingChars="200" w:hanging="440"/>
        <w:jc w:val="left"/>
        <w:rPr>
          <w:rFonts w:asciiTheme="majorEastAsia" w:eastAsiaTheme="majorEastAsia" w:hAnsiTheme="majorEastAsia" w:cs="Times New Roman"/>
          <w:kern w:val="0"/>
          <w:sz w:val="22"/>
        </w:rPr>
      </w:pPr>
    </w:p>
    <w:p w:rsidR="00226DD0" w:rsidRPr="00226DD0" w:rsidRDefault="00226DD0" w:rsidP="00226DD0">
      <w:pPr>
        <w:widowControl/>
        <w:ind w:left="440" w:hangingChars="200" w:hanging="44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226DD0" w:rsidRPr="00226DD0" w:rsidRDefault="00226DD0" w:rsidP="00226DD0">
      <w:pPr>
        <w:ind w:left="220" w:hangingChars="100" w:hanging="220"/>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利用者への個別の相談面接や聴取、利用者懇談会が、利用者満足を把握する目的で定期的に行われている。」については、サービス提供責任者等による取組を含め「利用者への個別の相談面接や聴取」の実施状況をもとに評価します。</w:t>
      </w:r>
    </w:p>
    <w:p w:rsidR="00226DD0" w:rsidRPr="00226DD0" w:rsidRDefault="00226DD0" w:rsidP="000642EE">
      <w:pPr>
        <w:rPr>
          <w:rFonts w:asciiTheme="majorEastAsia" w:eastAsiaTheme="majorEastAsia" w:hAnsiTheme="majorEastAsia"/>
          <w:sz w:val="22"/>
        </w:rPr>
      </w:pPr>
    </w:p>
    <w:p w:rsidR="00226DD0" w:rsidRPr="00226DD0" w:rsidRDefault="00226DD0" w:rsidP="000642EE">
      <w:pPr>
        <w:rPr>
          <w:rFonts w:asciiTheme="majorEastAsia" w:eastAsiaTheme="majorEastAsia" w:hAnsiTheme="majorEastAsia"/>
          <w:sz w:val="22"/>
        </w:rPr>
      </w:pPr>
    </w:p>
    <w:p w:rsidR="00226DD0" w:rsidRPr="00226DD0" w:rsidRDefault="00226DD0" w:rsidP="00226DD0">
      <w:pPr>
        <w:rPr>
          <w:rFonts w:asciiTheme="majorEastAsia" w:eastAsiaTheme="majorEastAsia" w:hAnsiTheme="majorEastAsia"/>
          <w:b/>
          <w:sz w:val="22"/>
        </w:rPr>
      </w:pPr>
      <w:r w:rsidRPr="00226DD0">
        <w:rPr>
          <w:rFonts w:asciiTheme="majorEastAsia" w:eastAsiaTheme="majorEastAsia" w:hAnsiTheme="majorEastAsia" w:hint="eastAsia"/>
          <w:b/>
          <w:color w:val="000000" w:themeColor="text1"/>
          <w:sz w:val="22"/>
          <w:bdr w:val="single" w:sz="4" w:space="0" w:color="auto"/>
        </w:rPr>
        <w:t>34</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Ⅲ-１-(４)-①　</w:t>
      </w:r>
      <w:r w:rsidRPr="00226DD0">
        <w:rPr>
          <w:rFonts w:asciiTheme="majorEastAsia" w:eastAsiaTheme="majorEastAsia" w:hAnsiTheme="majorEastAsia" w:cs="Times New Roman" w:hint="eastAsia"/>
          <w:b/>
          <w:kern w:val="0"/>
          <w:sz w:val="22"/>
        </w:rPr>
        <w:t>評価の留意点</w:t>
      </w:r>
    </w:p>
    <w:p w:rsidR="00226DD0" w:rsidRPr="00226DD0" w:rsidRDefault="00226DD0" w:rsidP="00226DD0">
      <w:pPr>
        <w:widowControl/>
        <w:jc w:val="left"/>
        <w:rPr>
          <w:rFonts w:asciiTheme="majorEastAsia" w:eastAsiaTheme="majorEastAsia" w:hAnsiTheme="majorEastAsia" w:cs="Times New Roman"/>
          <w:kern w:val="0"/>
          <w:sz w:val="22"/>
        </w:rPr>
      </w:pPr>
    </w:p>
    <w:p w:rsidR="00226DD0" w:rsidRP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226DD0" w:rsidRPr="00226DD0" w:rsidRDefault="00226DD0" w:rsidP="00226DD0">
      <w:pPr>
        <w:ind w:left="220" w:hangingChars="100" w:hanging="220"/>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着眼点「苦情解決の仕組みをわかりやすく説明した掲示物が掲示され、資料を利用者等に配布し説明している。」については、利用者等への資料の配布及び説明に関する取組をもとに評価します。</w:t>
      </w:r>
    </w:p>
    <w:p w:rsidR="00226DD0" w:rsidRPr="00226DD0" w:rsidRDefault="00226DD0" w:rsidP="000642EE">
      <w:pPr>
        <w:rPr>
          <w:rFonts w:asciiTheme="majorEastAsia" w:eastAsiaTheme="majorEastAsia" w:hAnsiTheme="majorEastAsia"/>
          <w:sz w:val="22"/>
        </w:rPr>
      </w:pPr>
    </w:p>
    <w:p w:rsidR="00226DD0" w:rsidRPr="00226DD0" w:rsidRDefault="00226DD0" w:rsidP="00226DD0">
      <w:pPr>
        <w:rPr>
          <w:rFonts w:asciiTheme="majorEastAsia" w:eastAsiaTheme="majorEastAsia" w:hAnsiTheme="majorEastAsia"/>
          <w:b/>
          <w:sz w:val="22"/>
        </w:rPr>
      </w:pPr>
      <w:r w:rsidRPr="00226DD0">
        <w:rPr>
          <w:rFonts w:ascii="ＭＳ ゴシック" w:eastAsia="ＭＳ ゴシック" w:hAnsi="ＭＳ ゴシック" w:cs="Times New Roman" w:hint="eastAsia"/>
          <w:b/>
          <w:color w:val="000000" w:themeColor="text1"/>
          <w:kern w:val="0"/>
          <w:sz w:val="22"/>
          <w:bdr w:val="single" w:sz="4" w:space="0" w:color="auto"/>
        </w:rPr>
        <w:lastRenderedPageBreak/>
        <w:t>35</w:t>
      </w:r>
      <w:r w:rsidRPr="00226DD0">
        <w:rPr>
          <w:rFonts w:ascii="ＭＳ ゴシック" w:eastAsia="ＭＳ ゴシック" w:hAnsi="ＭＳ ゴシック" w:cs="Times New Roman" w:hint="eastAsia"/>
          <w:b/>
          <w:color w:val="000000" w:themeColor="text1"/>
          <w:kern w:val="0"/>
          <w:sz w:val="22"/>
        </w:rPr>
        <w:t xml:space="preserve">　</w:t>
      </w:r>
      <w:r w:rsidRPr="00226DD0">
        <w:rPr>
          <w:rFonts w:asciiTheme="majorEastAsia" w:eastAsiaTheme="majorEastAsia" w:hAnsiTheme="majorEastAsia" w:hint="eastAsia"/>
          <w:b/>
          <w:sz w:val="22"/>
        </w:rPr>
        <w:t xml:space="preserve">Ⅲ-１-(４)-②　</w:t>
      </w:r>
      <w:r w:rsidRPr="00226DD0">
        <w:rPr>
          <w:rFonts w:asciiTheme="majorEastAsia" w:eastAsiaTheme="majorEastAsia" w:hAnsiTheme="majorEastAsia" w:cs="Times New Roman" w:hint="eastAsia"/>
          <w:b/>
          <w:kern w:val="0"/>
          <w:sz w:val="22"/>
        </w:rPr>
        <w:t>評価の留意点</w:t>
      </w:r>
    </w:p>
    <w:p w:rsidR="00226DD0" w:rsidRDefault="00226DD0" w:rsidP="00226DD0">
      <w:pPr>
        <w:widowControl/>
        <w:jc w:val="left"/>
        <w:rPr>
          <w:rFonts w:asciiTheme="majorEastAsia" w:eastAsiaTheme="majorEastAsia" w:hAnsiTheme="majorEastAsia" w:cs="Times New Roman"/>
          <w:kern w:val="0"/>
          <w:sz w:val="22"/>
        </w:rPr>
      </w:pPr>
    </w:p>
    <w:p w:rsid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226DD0" w:rsidRPr="00226DD0" w:rsidRDefault="00226DD0" w:rsidP="00226DD0">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着眼点「利用者や家族等に、その文書の配布やわかりやすい場所に掲示する等の取組を行っている。」については、利用者等への資料の配布及び説明に関する取組をもとに評価します。</w:t>
      </w:r>
    </w:p>
    <w:p w:rsidR="00226DD0" w:rsidRDefault="00226DD0" w:rsidP="00226DD0">
      <w:pPr>
        <w:widowControl/>
        <w:jc w:val="left"/>
        <w:rPr>
          <w:rFonts w:asciiTheme="majorEastAsia" w:eastAsiaTheme="majorEastAsia" w:hAnsiTheme="majorEastAsia" w:cs="Times New Roman"/>
          <w:kern w:val="0"/>
          <w:sz w:val="22"/>
        </w:rPr>
      </w:pPr>
    </w:p>
    <w:p w:rsidR="00226DD0" w:rsidRP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（訪問介護）</w:t>
      </w:r>
    </w:p>
    <w:p w:rsidR="00226DD0" w:rsidRPr="00226DD0" w:rsidRDefault="00226DD0" w:rsidP="00226DD0">
      <w:pPr>
        <w:ind w:left="220" w:hangingChars="100" w:hanging="220"/>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着眼点「相談をしやすい、意見を述べやすいスペースの確保等の環境に配慮している。」については、適用しません。</w:t>
      </w:r>
    </w:p>
    <w:p w:rsidR="00226DD0" w:rsidRPr="00226DD0" w:rsidRDefault="00226DD0" w:rsidP="000642EE">
      <w:pPr>
        <w:rPr>
          <w:rFonts w:asciiTheme="majorEastAsia" w:eastAsiaTheme="majorEastAsia" w:hAnsiTheme="majorEastAsia"/>
          <w:sz w:val="22"/>
        </w:rPr>
      </w:pPr>
    </w:p>
    <w:p w:rsidR="00226DD0" w:rsidRDefault="00226DD0" w:rsidP="000642EE">
      <w:pPr>
        <w:rPr>
          <w:rFonts w:asciiTheme="majorEastAsia" w:eastAsiaTheme="majorEastAsia" w:hAnsiTheme="majorEastAsia"/>
          <w:sz w:val="22"/>
        </w:rPr>
      </w:pPr>
    </w:p>
    <w:p w:rsidR="00226DD0" w:rsidRPr="00226DD0" w:rsidRDefault="00226DD0" w:rsidP="00226DD0">
      <w:pPr>
        <w:widowControl/>
        <w:jc w:val="left"/>
        <w:rPr>
          <w:rFonts w:asciiTheme="majorEastAsia" w:eastAsiaTheme="majorEastAsia" w:hAnsiTheme="majorEastAsia" w:cs="Times New Roman"/>
          <w:b/>
          <w:kern w:val="0"/>
          <w:sz w:val="22"/>
        </w:rPr>
      </w:pPr>
      <w:r w:rsidRPr="00226DD0">
        <w:rPr>
          <w:rFonts w:asciiTheme="majorEastAsia" w:eastAsiaTheme="majorEastAsia" w:hAnsiTheme="majorEastAsia" w:hint="eastAsia"/>
          <w:b/>
          <w:color w:val="000000" w:themeColor="text1"/>
          <w:sz w:val="22"/>
          <w:bdr w:val="single" w:sz="4" w:space="0" w:color="auto"/>
        </w:rPr>
        <w:t>38</w:t>
      </w:r>
      <w:r w:rsidRPr="00226DD0">
        <w:rPr>
          <w:rFonts w:asciiTheme="majorEastAsia" w:eastAsiaTheme="majorEastAsia" w:hAnsiTheme="majorEastAsia" w:hint="eastAsia"/>
          <w:b/>
          <w:color w:val="000000" w:themeColor="text1"/>
          <w:sz w:val="22"/>
        </w:rPr>
        <w:t xml:space="preserve">　</w:t>
      </w:r>
      <w:r w:rsidRPr="00226DD0">
        <w:rPr>
          <w:rFonts w:asciiTheme="majorEastAsia" w:eastAsiaTheme="majorEastAsia" w:hAnsiTheme="majorEastAsia" w:hint="eastAsia"/>
          <w:b/>
          <w:sz w:val="22"/>
        </w:rPr>
        <w:t xml:space="preserve">Ⅲ-１-(５)-②　</w:t>
      </w:r>
      <w:r w:rsidRPr="00226DD0">
        <w:rPr>
          <w:rFonts w:asciiTheme="majorEastAsia" w:eastAsiaTheme="majorEastAsia" w:hAnsiTheme="majorEastAsia" w:cs="Times New Roman" w:hint="eastAsia"/>
          <w:b/>
          <w:kern w:val="0"/>
          <w:sz w:val="22"/>
        </w:rPr>
        <w:t>趣旨・解説</w:t>
      </w:r>
    </w:p>
    <w:p w:rsidR="00226DD0" w:rsidRDefault="00226DD0" w:rsidP="00226DD0">
      <w:pPr>
        <w:widowControl/>
        <w:jc w:val="left"/>
        <w:rPr>
          <w:rFonts w:asciiTheme="majorEastAsia" w:eastAsiaTheme="majorEastAsia" w:hAnsiTheme="majorEastAsia" w:cs="Times New Roman"/>
          <w:kern w:val="0"/>
          <w:sz w:val="22"/>
        </w:rPr>
      </w:pPr>
    </w:p>
    <w:p w:rsid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226DD0" w:rsidRPr="00226DD0" w:rsidRDefault="00226DD0" w:rsidP="00226DD0">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職員が感染の媒体になる可能性があることや事業継続の点から、職員や職員の家族が感染症にかかった場合の対応を含めて、職員の健康管理に関して十分な配慮が必要です。</w:t>
      </w:r>
    </w:p>
    <w:p w:rsidR="00226DD0" w:rsidRPr="00226DD0" w:rsidRDefault="00226DD0" w:rsidP="00226DD0">
      <w:pPr>
        <w:widowControl/>
        <w:jc w:val="left"/>
        <w:rPr>
          <w:rFonts w:asciiTheme="majorEastAsia" w:eastAsiaTheme="majorEastAsia" w:hAnsiTheme="majorEastAsia" w:cs="Times New Roman"/>
          <w:kern w:val="0"/>
          <w:sz w:val="22"/>
        </w:rPr>
      </w:pPr>
    </w:p>
    <w:p w:rsidR="00226DD0" w:rsidRP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（通所介護、訪問介護）</w:t>
      </w:r>
    </w:p>
    <w:p w:rsidR="00226DD0" w:rsidRPr="00226DD0" w:rsidRDefault="00226DD0" w:rsidP="00226DD0">
      <w:pPr>
        <w:ind w:left="220" w:hangingChars="100" w:hanging="220"/>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感染症の対応では、予防及び発症時に感染を広げないための対策について、利用者や家族へ周知することも重要となります。また、感染症が発症した時の利用者や家族への周知については、利用者のプライバシーに配慮することが必要です。</w:t>
      </w:r>
    </w:p>
    <w:p w:rsidR="00226DD0" w:rsidRDefault="00226DD0" w:rsidP="000642EE">
      <w:pPr>
        <w:rPr>
          <w:rFonts w:asciiTheme="majorEastAsia" w:eastAsiaTheme="majorEastAsia" w:hAnsiTheme="majorEastAsia"/>
          <w:sz w:val="22"/>
        </w:rPr>
      </w:pPr>
    </w:p>
    <w:p w:rsidR="00226DD0" w:rsidRDefault="00226DD0" w:rsidP="000642EE">
      <w:pPr>
        <w:rPr>
          <w:rFonts w:asciiTheme="majorEastAsia" w:eastAsiaTheme="majorEastAsia" w:hAnsiTheme="majorEastAsia"/>
          <w:sz w:val="22"/>
        </w:rPr>
      </w:pPr>
    </w:p>
    <w:p w:rsidR="00226DD0" w:rsidRPr="00226DD0" w:rsidRDefault="00226DD0" w:rsidP="00226DD0">
      <w:pPr>
        <w:rPr>
          <w:rFonts w:asciiTheme="majorEastAsia" w:eastAsiaTheme="majorEastAsia" w:hAnsiTheme="majorEastAsia"/>
          <w:b/>
          <w:sz w:val="22"/>
        </w:rPr>
      </w:pPr>
      <w:r w:rsidRPr="00226DD0">
        <w:rPr>
          <w:rFonts w:asciiTheme="majorEastAsia" w:eastAsiaTheme="majorEastAsia" w:hAnsiTheme="majorEastAsia" w:cs="Times New Roman" w:hint="eastAsia"/>
          <w:b/>
          <w:color w:val="000000" w:themeColor="text1"/>
          <w:kern w:val="0"/>
          <w:sz w:val="22"/>
          <w:bdr w:val="single" w:sz="4" w:space="0" w:color="auto"/>
        </w:rPr>
        <w:t>42</w:t>
      </w:r>
      <w:r w:rsidRPr="00226DD0">
        <w:rPr>
          <w:rFonts w:asciiTheme="majorEastAsia" w:eastAsiaTheme="majorEastAsia" w:hAnsiTheme="majorEastAsia" w:cs="Times New Roman" w:hint="eastAsia"/>
          <w:b/>
          <w:color w:val="000000" w:themeColor="text1"/>
          <w:kern w:val="0"/>
          <w:sz w:val="22"/>
        </w:rPr>
        <w:t xml:space="preserve">　</w:t>
      </w:r>
      <w:r w:rsidRPr="00226DD0">
        <w:rPr>
          <w:rFonts w:asciiTheme="majorEastAsia" w:eastAsiaTheme="majorEastAsia" w:hAnsiTheme="majorEastAsia" w:hint="eastAsia"/>
          <w:b/>
          <w:sz w:val="22"/>
        </w:rPr>
        <w:t xml:space="preserve">Ⅲ-２-(２)-①　</w:t>
      </w:r>
      <w:r w:rsidRPr="00226DD0">
        <w:rPr>
          <w:rFonts w:asciiTheme="majorEastAsia" w:eastAsiaTheme="majorEastAsia" w:hAnsiTheme="majorEastAsia" w:cs="Times New Roman" w:hint="eastAsia"/>
          <w:b/>
          <w:kern w:val="0"/>
          <w:sz w:val="22"/>
        </w:rPr>
        <w:t>趣旨・解説</w:t>
      </w:r>
    </w:p>
    <w:p w:rsidR="00226DD0" w:rsidRDefault="00226DD0" w:rsidP="00226DD0">
      <w:pPr>
        <w:widowControl/>
        <w:jc w:val="left"/>
        <w:rPr>
          <w:rFonts w:asciiTheme="majorEastAsia" w:eastAsiaTheme="majorEastAsia" w:hAnsiTheme="majorEastAsia" w:cs="Times New Roman"/>
          <w:kern w:val="0"/>
          <w:sz w:val="22"/>
        </w:rPr>
      </w:pPr>
    </w:p>
    <w:p w:rsidR="00226DD0" w:rsidRDefault="00226DD0" w:rsidP="00226DD0">
      <w:pPr>
        <w:widowControl/>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（高齢者版共通）</w:t>
      </w:r>
    </w:p>
    <w:p w:rsidR="00226DD0" w:rsidRPr="00226DD0" w:rsidRDefault="00226DD0" w:rsidP="00226DD0">
      <w:pPr>
        <w:widowControl/>
        <w:ind w:left="220" w:hangingChars="100" w:hanging="220"/>
        <w:jc w:val="left"/>
        <w:rPr>
          <w:rFonts w:asciiTheme="majorEastAsia" w:eastAsiaTheme="majorEastAsia" w:hAnsiTheme="majorEastAsia" w:cs="Times New Roman"/>
          <w:kern w:val="0"/>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高齢者の支援においては、施設サービス計画、訪問介護計画、通所介護計画、処遇計画、特定施設サービス計画などがこれにあたります。</w:t>
      </w:r>
    </w:p>
    <w:p w:rsidR="00226DD0" w:rsidRDefault="00226DD0" w:rsidP="000642EE">
      <w:pPr>
        <w:rPr>
          <w:rFonts w:asciiTheme="majorEastAsia" w:eastAsiaTheme="majorEastAsia" w:hAnsiTheme="majorEastAsia"/>
          <w:sz w:val="22"/>
        </w:rPr>
      </w:pPr>
    </w:p>
    <w:p w:rsidR="003218B7" w:rsidRDefault="003218B7" w:rsidP="000642EE">
      <w:pPr>
        <w:rPr>
          <w:rFonts w:asciiTheme="majorEastAsia" w:eastAsiaTheme="majorEastAsia" w:hAnsiTheme="majorEastAsia"/>
          <w:sz w:val="22"/>
        </w:rPr>
      </w:pPr>
    </w:p>
    <w:p w:rsidR="00226DD0" w:rsidRPr="00226DD0" w:rsidRDefault="00226DD0" w:rsidP="00226DD0">
      <w:pPr>
        <w:rPr>
          <w:rFonts w:asciiTheme="majorEastAsia" w:eastAsiaTheme="majorEastAsia" w:hAnsiTheme="majorEastAsia"/>
          <w:b/>
          <w:sz w:val="22"/>
        </w:rPr>
      </w:pPr>
      <w:r w:rsidRPr="00226DD0">
        <w:rPr>
          <w:rFonts w:asciiTheme="majorEastAsia" w:eastAsiaTheme="majorEastAsia" w:hAnsiTheme="majorEastAsia" w:cs="Times New Roman" w:hint="eastAsia"/>
          <w:b/>
          <w:color w:val="000000" w:themeColor="text1"/>
          <w:kern w:val="0"/>
          <w:sz w:val="22"/>
          <w:bdr w:val="single" w:sz="4" w:space="0" w:color="auto"/>
        </w:rPr>
        <w:t>42</w:t>
      </w:r>
      <w:r w:rsidRPr="00226DD0">
        <w:rPr>
          <w:rFonts w:asciiTheme="majorEastAsia" w:eastAsiaTheme="majorEastAsia" w:hAnsiTheme="majorEastAsia" w:cs="Times New Roman" w:hint="eastAsia"/>
          <w:b/>
          <w:color w:val="000000" w:themeColor="text1"/>
          <w:kern w:val="0"/>
          <w:sz w:val="22"/>
        </w:rPr>
        <w:t xml:space="preserve">　</w:t>
      </w:r>
      <w:r w:rsidRPr="00226DD0">
        <w:rPr>
          <w:rFonts w:asciiTheme="majorEastAsia" w:eastAsiaTheme="majorEastAsia" w:hAnsiTheme="majorEastAsia" w:hint="eastAsia"/>
          <w:b/>
          <w:sz w:val="22"/>
        </w:rPr>
        <w:t xml:space="preserve">Ⅲ-２-(２)-①　</w:t>
      </w:r>
      <w:r w:rsidRPr="00226DD0">
        <w:rPr>
          <w:rFonts w:asciiTheme="majorEastAsia" w:eastAsiaTheme="majorEastAsia" w:hAnsiTheme="majorEastAsia" w:cs="Times New Roman" w:hint="eastAsia"/>
          <w:b/>
          <w:kern w:val="0"/>
          <w:sz w:val="22"/>
        </w:rPr>
        <w:t>評価の留意点</w:t>
      </w:r>
    </w:p>
    <w:p w:rsidR="00226DD0" w:rsidRDefault="00226DD0" w:rsidP="00226DD0">
      <w:pPr>
        <w:widowControl/>
        <w:jc w:val="left"/>
        <w:rPr>
          <w:rFonts w:asciiTheme="majorEastAsia" w:eastAsiaTheme="majorEastAsia" w:hAnsiTheme="majorEastAsia" w:cs="Times New Roman"/>
          <w:kern w:val="0"/>
          <w:sz w:val="22"/>
        </w:rPr>
      </w:pPr>
    </w:p>
    <w:p w:rsidR="00226DD0" w:rsidRPr="00226DD0" w:rsidRDefault="00226DD0" w:rsidP="00226DD0">
      <w:pPr>
        <w:widowControl/>
        <w:jc w:val="left"/>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rPr>
        <w:t>高齢者版共通）</w:t>
      </w:r>
    </w:p>
    <w:p w:rsidR="00226DD0" w:rsidRPr="00226DD0" w:rsidRDefault="00226DD0" w:rsidP="00226DD0">
      <w:pPr>
        <w:ind w:left="220" w:hangingChars="100" w:hanging="220"/>
        <w:rPr>
          <w:rFonts w:asciiTheme="majorEastAsia" w:eastAsiaTheme="majorEastAsia" w:hAnsiTheme="majorEastAsia"/>
          <w:sz w:val="22"/>
        </w:rPr>
      </w:pPr>
      <w:r w:rsidRPr="00226DD0">
        <w:rPr>
          <w:rFonts w:asciiTheme="majorEastAsia" w:eastAsiaTheme="majorEastAsia" w:hAnsiTheme="majorEastAsia" w:cs="Times New Roman" w:hint="eastAsia"/>
          <w:kern w:val="0"/>
          <w:sz w:val="22"/>
        </w:rPr>
        <w:t>○</w:t>
      </w:r>
      <w:r w:rsidRPr="00226DD0">
        <w:rPr>
          <w:rFonts w:asciiTheme="majorEastAsia" w:eastAsiaTheme="majorEastAsia" w:hAnsiTheme="majorEastAsia" w:cs="Times New Roman" w:hint="eastAsia"/>
          <w:kern w:val="0"/>
          <w:sz w:val="22"/>
          <w:u w:val="single"/>
        </w:rPr>
        <w:t>特に標準的な実施方法（Ⅲ-２-（１）-①）では対応できない一人ひとりの状況に応じた個別の介助方法・手順を福祉サービス実施計画に記載する必要があります。この内容は福祉サービス実施計画とは別に作成していることもありますので、これとあわせて福祉サービス実施計画を確認する必要があります。</w:t>
      </w:r>
    </w:p>
    <w:sectPr w:rsidR="00226DD0" w:rsidRPr="00226DD0" w:rsidSect="00EE4A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C9" w:rsidRDefault="009B22C9" w:rsidP="009B22C9">
      <w:r>
        <w:separator/>
      </w:r>
    </w:p>
  </w:endnote>
  <w:endnote w:type="continuationSeparator" w:id="0">
    <w:p w:rsidR="009B22C9" w:rsidRDefault="009B22C9" w:rsidP="009B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C9" w:rsidRDefault="009B22C9" w:rsidP="009B22C9">
      <w:r>
        <w:separator/>
      </w:r>
    </w:p>
  </w:footnote>
  <w:footnote w:type="continuationSeparator" w:id="0">
    <w:p w:rsidR="009B22C9" w:rsidRDefault="009B22C9" w:rsidP="009B2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4F"/>
    <w:rsid w:val="000642EE"/>
    <w:rsid w:val="00226DD0"/>
    <w:rsid w:val="003218B7"/>
    <w:rsid w:val="0062764F"/>
    <w:rsid w:val="00682A45"/>
    <w:rsid w:val="00812245"/>
    <w:rsid w:val="009B22C9"/>
    <w:rsid w:val="00CB1196"/>
    <w:rsid w:val="00DC3C03"/>
    <w:rsid w:val="00EE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4A69"/>
    <w:pPr>
      <w:jc w:val="center"/>
    </w:pPr>
    <w:rPr>
      <w:rFonts w:asciiTheme="majorEastAsia" w:eastAsiaTheme="majorEastAsia" w:hAnsiTheme="majorEastAsia"/>
      <w:b/>
      <w:sz w:val="22"/>
    </w:rPr>
  </w:style>
  <w:style w:type="character" w:customStyle="1" w:styleId="a4">
    <w:name w:val="記 (文字)"/>
    <w:basedOn w:val="a0"/>
    <w:link w:val="a3"/>
    <w:uiPriority w:val="99"/>
    <w:rsid w:val="00EE4A69"/>
    <w:rPr>
      <w:rFonts w:asciiTheme="majorEastAsia" w:eastAsiaTheme="majorEastAsia" w:hAnsiTheme="majorEastAsia"/>
      <w:b/>
      <w:sz w:val="22"/>
    </w:rPr>
  </w:style>
  <w:style w:type="paragraph" w:styleId="a5">
    <w:name w:val="Closing"/>
    <w:basedOn w:val="a"/>
    <w:link w:val="a6"/>
    <w:uiPriority w:val="99"/>
    <w:unhideWhenUsed/>
    <w:rsid w:val="00EE4A69"/>
    <w:pPr>
      <w:jc w:val="right"/>
    </w:pPr>
    <w:rPr>
      <w:rFonts w:asciiTheme="majorEastAsia" w:eastAsiaTheme="majorEastAsia" w:hAnsiTheme="majorEastAsia"/>
      <w:b/>
      <w:sz w:val="22"/>
    </w:rPr>
  </w:style>
  <w:style w:type="character" w:customStyle="1" w:styleId="a6">
    <w:name w:val="結語 (文字)"/>
    <w:basedOn w:val="a0"/>
    <w:link w:val="a5"/>
    <w:uiPriority w:val="99"/>
    <w:rsid w:val="00EE4A69"/>
    <w:rPr>
      <w:rFonts w:asciiTheme="majorEastAsia" w:eastAsiaTheme="majorEastAsia" w:hAnsiTheme="majorEastAsia"/>
      <w:b/>
      <w:sz w:val="22"/>
    </w:rPr>
  </w:style>
  <w:style w:type="table" w:styleId="a7">
    <w:name w:val="Table Grid"/>
    <w:basedOn w:val="a1"/>
    <w:uiPriority w:val="59"/>
    <w:rsid w:val="00DC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B22C9"/>
    <w:pPr>
      <w:tabs>
        <w:tab w:val="center" w:pos="4252"/>
        <w:tab w:val="right" w:pos="8504"/>
      </w:tabs>
      <w:snapToGrid w:val="0"/>
    </w:pPr>
  </w:style>
  <w:style w:type="character" w:customStyle="1" w:styleId="a9">
    <w:name w:val="ヘッダー (文字)"/>
    <w:basedOn w:val="a0"/>
    <w:link w:val="a8"/>
    <w:uiPriority w:val="99"/>
    <w:rsid w:val="009B22C9"/>
  </w:style>
  <w:style w:type="paragraph" w:styleId="aa">
    <w:name w:val="footer"/>
    <w:basedOn w:val="a"/>
    <w:link w:val="ab"/>
    <w:uiPriority w:val="99"/>
    <w:unhideWhenUsed/>
    <w:rsid w:val="009B22C9"/>
    <w:pPr>
      <w:tabs>
        <w:tab w:val="center" w:pos="4252"/>
        <w:tab w:val="right" w:pos="8504"/>
      </w:tabs>
      <w:snapToGrid w:val="0"/>
    </w:pPr>
  </w:style>
  <w:style w:type="character" w:customStyle="1" w:styleId="ab">
    <w:name w:val="フッター (文字)"/>
    <w:basedOn w:val="a0"/>
    <w:link w:val="aa"/>
    <w:uiPriority w:val="99"/>
    <w:rsid w:val="009B22C9"/>
  </w:style>
  <w:style w:type="paragraph" w:styleId="ac">
    <w:name w:val="Balloon Text"/>
    <w:basedOn w:val="a"/>
    <w:link w:val="ad"/>
    <w:uiPriority w:val="99"/>
    <w:semiHidden/>
    <w:unhideWhenUsed/>
    <w:rsid w:val="009B22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22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4A69"/>
    <w:pPr>
      <w:jc w:val="center"/>
    </w:pPr>
    <w:rPr>
      <w:rFonts w:asciiTheme="majorEastAsia" w:eastAsiaTheme="majorEastAsia" w:hAnsiTheme="majorEastAsia"/>
      <w:b/>
      <w:sz w:val="22"/>
    </w:rPr>
  </w:style>
  <w:style w:type="character" w:customStyle="1" w:styleId="a4">
    <w:name w:val="記 (文字)"/>
    <w:basedOn w:val="a0"/>
    <w:link w:val="a3"/>
    <w:uiPriority w:val="99"/>
    <w:rsid w:val="00EE4A69"/>
    <w:rPr>
      <w:rFonts w:asciiTheme="majorEastAsia" w:eastAsiaTheme="majorEastAsia" w:hAnsiTheme="majorEastAsia"/>
      <w:b/>
      <w:sz w:val="22"/>
    </w:rPr>
  </w:style>
  <w:style w:type="paragraph" w:styleId="a5">
    <w:name w:val="Closing"/>
    <w:basedOn w:val="a"/>
    <w:link w:val="a6"/>
    <w:uiPriority w:val="99"/>
    <w:unhideWhenUsed/>
    <w:rsid w:val="00EE4A69"/>
    <w:pPr>
      <w:jc w:val="right"/>
    </w:pPr>
    <w:rPr>
      <w:rFonts w:asciiTheme="majorEastAsia" w:eastAsiaTheme="majorEastAsia" w:hAnsiTheme="majorEastAsia"/>
      <w:b/>
      <w:sz w:val="22"/>
    </w:rPr>
  </w:style>
  <w:style w:type="character" w:customStyle="1" w:styleId="a6">
    <w:name w:val="結語 (文字)"/>
    <w:basedOn w:val="a0"/>
    <w:link w:val="a5"/>
    <w:uiPriority w:val="99"/>
    <w:rsid w:val="00EE4A69"/>
    <w:rPr>
      <w:rFonts w:asciiTheme="majorEastAsia" w:eastAsiaTheme="majorEastAsia" w:hAnsiTheme="majorEastAsia"/>
      <w:b/>
      <w:sz w:val="22"/>
    </w:rPr>
  </w:style>
  <w:style w:type="table" w:styleId="a7">
    <w:name w:val="Table Grid"/>
    <w:basedOn w:val="a1"/>
    <w:uiPriority w:val="59"/>
    <w:rsid w:val="00DC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B22C9"/>
    <w:pPr>
      <w:tabs>
        <w:tab w:val="center" w:pos="4252"/>
        <w:tab w:val="right" w:pos="8504"/>
      </w:tabs>
      <w:snapToGrid w:val="0"/>
    </w:pPr>
  </w:style>
  <w:style w:type="character" w:customStyle="1" w:styleId="a9">
    <w:name w:val="ヘッダー (文字)"/>
    <w:basedOn w:val="a0"/>
    <w:link w:val="a8"/>
    <w:uiPriority w:val="99"/>
    <w:rsid w:val="009B22C9"/>
  </w:style>
  <w:style w:type="paragraph" w:styleId="aa">
    <w:name w:val="footer"/>
    <w:basedOn w:val="a"/>
    <w:link w:val="ab"/>
    <w:uiPriority w:val="99"/>
    <w:unhideWhenUsed/>
    <w:rsid w:val="009B22C9"/>
    <w:pPr>
      <w:tabs>
        <w:tab w:val="center" w:pos="4252"/>
        <w:tab w:val="right" w:pos="8504"/>
      </w:tabs>
      <w:snapToGrid w:val="0"/>
    </w:pPr>
  </w:style>
  <w:style w:type="character" w:customStyle="1" w:styleId="ab">
    <w:name w:val="フッター (文字)"/>
    <w:basedOn w:val="a0"/>
    <w:link w:val="aa"/>
    <w:uiPriority w:val="99"/>
    <w:rsid w:val="009B22C9"/>
  </w:style>
  <w:style w:type="paragraph" w:styleId="ac">
    <w:name w:val="Balloon Text"/>
    <w:basedOn w:val="a"/>
    <w:link w:val="ad"/>
    <w:uiPriority w:val="99"/>
    <w:semiHidden/>
    <w:unhideWhenUsed/>
    <w:rsid w:val="009B22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22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B8FF-855A-4EB2-93D1-8F9E5A69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厚生労働省ネットワークシステム</cp:lastModifiedBy>
  <cp:revision>7</cp:revision>
  <cp:lastPrinted>2017-03-30T04:52:00Z</cp:lastPrinted>
  <dcterms:created xsi:type="dcterms:W3CDTF">2016-08-29T04:44:00Z</dcterms:created>
  <dcterms:modified xsi:type="dcterms:W3CDTF">2017-03-30T04:52:00Z</dcterms:modified>
</cp:coreProperties>
</file>