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A7" w:rsidRPr="00A72F8E" w:rsidRDefault="006D67D3" w:rsidP="006D67D3">
      <w:pPr>
        <w:wordWrap w:val="0"/>
        <w:autoSpaceDE w:val="0"/>
        <w:autoSpaceDN w:val="0"/>
        <w:snapToGrid w:val="0"/>
        <w:jc w:val="right"/>
        <w:rPr>
          <w:rFonts w:ascii="ＭＳ Ｐゴシック" w:eastAsia="ＭＳ Ｐゴシック" w:hAnsi="ＭＳ Ｐゴシック"/>
          <w:b/>
          <w:sz w:val="32"/>
          <w:szCs w:val="24"/>
          <w:bdr w:val="single" w:sz="4" w:space="0" w:color="auto"/>
        </w:rPr>
      </w:pPr>
      <w:r w:rsidRPr="00A72F8E">
        <w:rPr>
          <w:rFonts w:ascii="ＭＳ Ｐゴシック" w:eastAsia="ＭＳ Ｐゴシック" w:hAnsi="ＭＳ Ｐゴシック" w:hint="eastAsia"/>
          <w:b/>
          <w:sz w:val="32"/>
          <w:szCs w:val="24"/>
          <w:bdr w:val="single" w:sz="4" w:space="0" w:color="auto"/>
        </w:rPr>
        <w:t>別添</w:t>
      </w:r>
      <w:r w:rsidR="00397906" w:rsidRPr="00A72F8E">
        <w:rPr>
          <w:rFonts w:ascii="ＭＳ Ｐゴシック" w:eastAsia="ＭＳ Ｐゴシック" w:hAnsi="ＭＳ Ｐゴシック" w:hint="eastAsia"/>
          <w:b/>
          <w:sz w:val="32"/>
          <w:szCs w:val="24"/>
          <w:bdr w:val="single" w:sz="4" w:space="0" w:color="auto"/>
        </w:rPr>
        <w:t>１－１</w:t>
      </w:r>
    </w:p>
    <w:p w:rsidR="00397906" w:rsidRDefault="00397906" w:rsidP="006D67D3">
      <w:pPr>
        <w:autoSpaceDE w:val="0"/>
        <w:autoSpaceDN w:val="0"/>
        <w:snapToGrid w:val="0"/>
        <w:jc w:val="center"/>
        <w:rPr>
          <w:rFonts w:ascii="ＭＳ Ｐゴシック" w:eastAsia="ＭＳ Ｐゴシック" w:hAnsi="ＭＳ Ｐゴシック"/>
          <w:b/>
          <w:sz w:val="28"/>
          <w:szCs w:val="24"/>
        </w:rPr>
      </w:pPr>
    </w:p>
    <w:p w:rsidR="006D67D3" w:rsidRPr="00397906" w:rsidRDefault="006D67D3" w:rsidP="006D67D3">
      <w:pPr>
        <w:autoSpaceDE w:val="0"/>
        <w:autoSpaceDN w:val="0"/>
        <w:snapToGrid w:val="0"/>
        <w:jc w:val="center"/>
        <w:rPr>
          <w:rFonts w:ascii="ＭＳ Ｐゴシック" w:eastAsia="ＭＳ Ｐゴシック" w:hAnsi="ＭＳ Ｐゴシック"/>
          <w:b/>
          <w:sz w:val="28"/>
          <w:szCs w:val="24"/>
        </w:rPr>
      </w:pPr>
      <w:r w:rsidRPr="00397906">
        <w:rPr>
          <w:rFonts w:ascii="ＭＳ Ｐゴシック" w:eastAsia="ＭＳ Ｐゴシック" w:hAnsi="ＭＳ Ｐゴシック" w:hint="eastAsia"/>
          <w:b/>
          <w:sz w:val="28"/>
          <w:szCs w:val="24"/>
        </w:rPr>
        <w:t>第三者評価共通評価基準ガイドライン（高齢者福祉サービス解説版）</w:t>
      </w:r>
    </w:p>
    <w:p w:rsidR="006D67D3" w:rsidRDefault="006D67D3" w:rsidP="006D67D3">
      <w:pPr>
        <w:autoSpaceDE w:val="0"/>
        <w:autoSpaceDN w:val="0"/>
        <w:snapToGrid w:val="0"/>
        <w:jc w:val="center"/>
        <w:rPr>
          <w:rFonts w:ascii="ＭＳ Ｐゴシック" w:eastAsia="ＭＳ Ｐゴシック" w:hAnsi="ＭＳ Ｐゴシック"/>
          <w:b/>
          <w:sz w:val="24"/>
          <w:szCs w:val="24"/>
        </w:rPr>
      </w:pPr>
      <w:bookmarkStart w:id="0" w:name="_GoBack"/>
      <w:bookmarkEnd w:id="0"/>
    </w:p>
    <w:p w:rsidR="006D67D3" w:rsidRPr="006D67D3" w:rsidRDefault="006D67D3" w:rsidP="006D67D3">
      <w:pPr>
        <w:autoSpaceDE w:val="0"/>
        <w:autoSpaceDN w:val="0"/>
        <w:snapToGrid w:val="0"/>
        <w:jc w:val="center"/>
        <w:rPr>
          <w:rFonts w:ascii="ＭＳ Ｐゴシック" w:eastAsia="ＭＳ Ｐゴシック" w:hAnsi="ＭＳ Ｐゴシック"/>
          <w:b/>
          <w:sz w:val="24"/>
          <w:szCs w:val="24"/>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r w:rsidRPr="000C32FB">
        <w:rPr>
          <w:rFonts w:ascii="ＭＳ Ｐゴシック" w:eastAsia="ＭＳ Ｐゴシック" w:hAnsi="ＭＳ Ｐゴシック" w:hint="eastAsia"/>
          <w:b/>
          <w:sz w:val="24"/>
          <w:szCs w:val="24"/>
          <w:u w:val="single"/>
        </w:rPr>
        <w:t>Ⅰ　福祉サービスの基本方針と組織</w:t>
      </w: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Ⅰ-１　理念・基本方針</w:t>
      </w:r>
    </w:p>
    <w:p w:rsidR="00A470A7" w:rsidRPr="00B961BC" w:rsidRDefault="00A470A7" w:rsidP="00777B61">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Ⅰ-１-(１)　理念、基本方針が確立・周知されている。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Ⅰ-１-(１)-①　理念、基本方針が明文化され周知が図られている。</w:t>
      </w:r>
    </w:p>
    <w:p w:rsidR="00777B61" w:rsidRPr="000C32FB" w:rsidRDefault="00777B61"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Ⅰ-２　経営状況の把握</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Ⅰ-２-(１)　経営環境の変化等に適切に対応している。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Ⅰ-２-(１)-①　事業経営をとりまく環境と経営状況が的確に把握・分析されている。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Ⅰ-２-(１)-②　経営課題を明確にし、具体的な取り組みを進めている。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Ⅰ-３　事業計画の策定</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Ⅰ-３-(１)　中・長期的なビジョンと計画が明確にされている。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Ⅰ-３-(１)-①　中・長期的なビジョンを明確にした計画が策定されている。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Ⅰ-３-(１)-②　中・長期計画を踏まえた単年度の計画が策定されている。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Ⅰ-３-(２)　事業計画が適切に策定されている。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612270"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Ⅰ-３-(２)-①　事業計画の策定と実施状況の把握や評価・見直しが組織的に行われ、職員</w:t>
      </w:r>
    </w:p>
    <w:p w:rsidR="00A470A7" w:rsidRPr="000C32FB" w:rsidRDefault="00A470A7" w:rsidP="00612270">
      <w:pPr>
        <w:wordWrap w:val="0"/>
        <w:autoSpaceDE w:val="0"/>
        <w:autoSpaceDN w:val="0"/>
        <w:snapToGrid w:val="0"/>
        <w:ind w:leftChars="400" w:left="806" w:firstLineChars="663" w:firstLine="1403"/>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u w:val="single"/>
        </w:rPr>
        <w:t>が理解している。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Ⅰ-３-(２)-②　事業計画は、利用者等に周知され、理解を促している。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Ⅰ-４　福祉サービスの質の向上への組織的・計画的な取組</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Ⅰ-４-(１)　質の向上に向けた取組が組織的・計画的に行われている。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sz w:val="22"/>
          <w:szCs w:val="22"/>
          <w:bdr w:val="single" w:sz="4" w:space="0" w:color="auto"/>
        </w:rPr>
        <w:t>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Ⅰ-４-(１)-①　福祉サービスの質の向上に向けた取組が組織的に行われ、機能している。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p>
    <w:p w:rsidR="00777B61"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Ⅰ-４-(１)-②　評価結果にもとづき組織として取組むべき課題を明確にし、計画的な改善策</w:t>
      </w:r>
    </w:p>
    <w:p w:rsidR="00A470A7" w:rsidRPr="000C32FB" w:rsidRDefault="00A470A7" w:rsidP="00612270">
      <w:pPr>
        <w:wordWrap w:val="0"/>
        <w:autoSpaceDE w:val="0"/>
        <w:autoSpaceDN w:val="0"/>
        <w:snapToGrid w:val="0"/>
        <w:ind w:firstLineChars="1050" w:firstLine="2221"/>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hint="eastAsia"/>
          <w:sz w:val="22"/>
          <w:szCs w:val="22"/>
          <w:u w:val="single"/>
        </w:rPr>
        <w:t>を実施している。</w:t>
      </w:r>
    </w:p>
    <w:p w:rsidR="00777B61" w:rsidRPr="000C32FB" w:rsidRDefault="00777B61" w:rsidP="00A470A7">
      <w:pPr>
        <w:wordWrap w:val="0"/>
        <w:autoSpaceDE w:val="0"/>
        <w:autoSpaceDN w:val="0"/>
        <w:snapToGrid w:val="0"/>
        <w:rPr>
          <w:rFonts w:ascii="ＭＳ Ｐゴシック" w:eastAsia="ＭＳ Ｐゴシック" w:hAnsi="ＭＳ Ｐゴシック"/>
          <w:sz w:val="22"/>
          <w:szCs w:val="22"/>
          <w:u w:val="single"/>
        </w:rPr>
      </w:pPr>
    </w:p>
    <w:p w:rsidR="0074572B" w:rsidRPr="000C32FB" w:rsidRDefault="0074572B"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1"/>
          <w:u w:val="single"/>
        </w:rPr>
      </w:pPr>
      <w:r w:rsidRPr="000C32FB">
        <w:rPr>
          <w:rFonts w:ascii="ＭＳ Ｐゴシック" w:eastAsia="ＭＳ Ｐゴシック" w:hAnsi="ＭＳ Ｐゴシック" w:hint="eastAsia"/>
          <w:b/>
          <w:sz w:val="24"/>
          <w:szCs w:val="21"/>
          <w:u w:val="single"/>
        </w:rPr>
        <w:t>Ⅱ　組織の運営管理</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Ⅱ-１　管理者の責任とリーダーシップ</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Ⅱ-１-(１)　管理者の責任が明確にされている。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Ⅱ-１-(１)-①　管理者は、自らの役割と責任を職員に対して表明し理解を図っている。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lastRenderedPageBreak/>
        <w:t>11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Ⅱ-１-(１)-②　遵守すべき法令等を正しく理解するための取組を行っている。</w:t>
      </w:r>
    </w:p>
    <w:p w:rsidR="00A470A7"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9922CC" w:rsidRPr="000C32FB" w:rsidRDefault="009922CC"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Ⅱ-１-(２)　管理者のリーダーシップが発揮されている。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A470A7" w:rsidRPr="000C32FB" w:rsidRDefault="00A470A7" w:rsidP="004A5E85">
      <w:pPr>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Ⅱ-１-(２)-①　</w:t>
      </w:r>
      <w:r w:rsidRPr="004A5E85">
        <w:rPr>
          <w:rFonts w:ascii="ＭＳ Ｐゴシック" w:eastAsia="ＭＳ Ｐゴシック" w:hAnsi="ＭＳ Ｐゴシック" w:hint="eastAsia"/>
          <w:sz w:val="22"/>
          <w:szCs w:val="22"/>
          <w:u w:val="single"/>
        </w:rPr>
        <w:t>福祉サービスの質の向上に意欲をもち、その取組に指導力を発揮している</w:t>
      </w:r>
      <w:r w:rsidR="00C54B0E" w:rsidRPr="004A5E85">
        <w:rPr>
          <w:rFonts w:ascii="ＭＳ Ｐゴシック" w:eastAsia="ＭＳ Ｐゴシック" w:hAnsi="ＭＳ Ｐゴシック" w:hint="eastAsia"/>
          <w:sz w:val="22"/>
          <w:szCs w:val="22"/>
          <w:u w:val="single"/>
        </w:rPr>
        <w:t>。</w:t>
      </w:r>
    </w:p>
    <w:p w:rsidR="00A470A7" w:rsidRPr="004A5E85"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Ⅱ-１-(２)-②　経営の改善や業務の実行性を高める取組に指導力を発揮している。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1"/>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1"/>
        </w:rPr>
      </w:pPr>
      <w:r w:rsidRPr="000C32FB">
        <w:rPr>
          <w:rFonts w:ascii="ＭＳ Ｐゴシック" w:eastAsia="ＭＳ Ｐゴシック" w:hAnsi="ＭＳ Ｐゴシック" w:hint="eastAsia"/>
          <w:b/>
          <w:sz w:val="24"/>
          <w:szCs w:val="21"/>
        </w:rPr>
        <w:t>Ⅱ-２　福祉人材の確保・育成</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Ⅱ-２-(１)　福祉人材の確保・育成計画、人事管理の体制が整備されている。</w:t>
      </w:r>
    </w:p>
    <w:p w:rsidR="00A470A7" w:rsidRPr="00B961BC"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Ⅱ-２-(１)-①　必要な福祉人材の確保・定着等に関する具体的な計画が確立し、取組が実施されている。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Ⅱ-２-(１)-②　総合的な人事管理が行われている。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Ⅱ-２-(２)　職員の就業状況に配慮がなされている。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16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Ⅱ-２-(２)-①　職員の就業状況や意向を把握し、働きやすい職場づくりに取組んでいる。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Ⅱ-２-(３)　職員の質の向上に向けた体制が確立されている。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17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Ⅱ-２-(３)-①　職員一人ひとりの育成に向けた取組を行っている。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Ⅱ-２-(３)-②　職員の教育・研修に関する基本方針や計画が策定され、教育・研修が実施されている。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Ⅱ-２-(３)-③　職員一人ひとりの教育・研修の機会が確保されている。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Ⅱ-２-(４)　実習生等の福祉サービスに関わる専門職の研修・育成が適切に行われている。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Ⅱ-２-(４)-①　実習生等の福祉サービスに関わる専門職の</w:t>
      </w:r>
      <w:r w:rsidR="003A14B4" w:rsidRPr="000C32FB">
        <w:rPr>
          <w:rFonts w:ascii="ＭＳ Ｐゴシック" w:eastAsia="ＭＳ Ｐゴシック" w:hAnsi="ＭＳ Ｐゴシック" w:hint="eastAsia"/>
          <w:sz w:val="22"/>
          <w:szCs w:val="22"/>
          <w:u w:val="single"/>
        </w:rPr>
        <w:t>研修</w:t>
      </w:r>
      <w:r w:rsidRPr="000C32FB">
        <w:rPr>
          <w:rFonts w:ascii="ＭＳ Ｐゴシック" w:eastAsia="ＭＳ Ｐゴシック" w:hAnsi="ＭＳ Ｐゴシック" w:hint="eastAsia"/>
          <w:sz w:val="22"/>
          <w:szCs w:val="22"/>
          <w:u w:val="single"/>
        </w:rPr>
        <w:t>・育成について体制を整備し、積極的な取組をしている。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Ⅱ-３　運営の透明性の確保</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Ⅱ-３-(１)　運営の透明性を確保するための取組が行われている。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21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Ⅱ-３-(１)-①　運営の透明性を確保するための情報公開が行われている。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u w:val="single"/>
        </w:rPr>
      </w:pPr>
      <w:r w:rsidRPr="000C32FB">
        <w:rPr>
          <w:rFonts w:ascii="ＭＳ Ｐゴシック" w:eastAsia="ＭＳ Ｐゴシック" w:hAnsi="ＭＳ Ｐゴシック" w:hint="eastAsia"/>
          <w:sz w:val="22"/>
          <w:szCs w:val="22"/>
          <w:bdr w:val="single" w:sz="4" w:space="0" w:color="auto"/>
        </w:rPr>
        <w:t>22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Ⅱ-３-(１)-②　</w:t>
      </w:r>
      <w:r w:rsidRPr="000C32FB">
        <w:rPr>
          <w:rFonts w:ascii="ＭＳ Ｐゴシック" w:eastAsia="ＭＳ Ｐゴシック" w:hAnsi="ＭＳ Ｐゴシック" w:hint="eastAsia"/>
          <w:sz w:val="22"/>
          <w:u w:val="single"/>
        </w:rPr>
        <w:t>公正かつ透明性の高い適正な経営・運営のための取組が行われている</w:t>
      </w:r>
      <w:r w:rsidRPr="000C32FB">
        <w:rPr>
          <w:rFonts w:ascii="ＭＳ Ｐゴシック" w:eastAsia="ＭＳ Ｐゴシック" w:hAnsi="ＭＳ Ｐゴシック" w:hint="eastAsia"/>
          <w:sz w:val="22"/>
          <w:szCs w:val="22"/>
          <w:u w:val="single"/>
        </w:rPr>
        <w:t>。</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Ⅱ-４　地域との交流、地域貢献</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Ⅱ-４-(１)　地域との関係が適切に確保されている。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Ⅱ-４-(１)-①　利用者と地域との交流を広げるための取組を行っている。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Ⅱ-４-(１)-②　ボランティア等の受入れに対する基本姿勢を明確にし体制を確立している。</w:t>
      </w:r>
    </w:p>
    <w:p w:rsidR="004A5E85" w:rsidRPr="000C32FB" w:rsidRDefault="004A5E85" w:rsidP="008A23BA">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Ⅱ-４-(２)　関係機関との連携が確保されている。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lastRenderedPageBreak/>
        <w:t>25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Ⅱ-４-(２)-①　福祉施設・事業所として必要な社会資源を明確にし、関係機関等との連携が適切に行われている。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Ⅱ-４-(３)　地域の福祉向上のための取組を行っている。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Ⅱ-４-(３)-①　福祉施設・事業所が有する機能を地域に還元している。</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Ⅱ-４-(３)-②　地域の福祉ニーズにもとづく公益的な事業・活動が行われている。</w:t>
      </w: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sz w:val="24"/>
        </w:rPr>
      </w:pP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sz w:val="24"/>
        </w:rPr>
      </w:pP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b/>
          <w:sz w:val="24"/>
          <w:u w:val="single"/>
        </w:rPr>
      </w:pPr>
      <w:r w:rsidRPr="000C32FB">
        <w:rPr>
          <w:rFonts w:ascii="ＭＳ Ｐゴシック" w:eastAsia="ＭＳ Ｐゴシック" w:hAnsi="ＭＳ Ｐゴシック" w:hint="eastAsia"/>
          <w:b/>
          <w:sz w:val="24"/>
          <w:u w:val="single"/>
        </w:rPr>
        <w:t>Ⅲ　適切な福祉サービスの実施</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Ⅲ-１　利用者本位の福祉サービス</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Ⅲ-１-(１)　利用者を尊重する姿勢が明示されている。</w:t>
      </w:r>
    </w:p>
    <w:p w:rsidR="00A470A7" w:rsidRPr="000C32FB" w:rsidRDefault="00A470A7" w:rsidP="00A470A7">
      <w:pPr>
        <w:wordWrap w:val="0"/>
        <w:autoSpaceDE w:val="0"/>
        <w:autoSpaceDN w:val="0"/>
        <w:snapToGrid w:val="0"/>
        <w:ind w:firstLineChars="200" w:firstLine="423"/>
        <w:rPr>
          <w:rFonts w:ascii="ＭＳ Ｐゴシック" w:eastAsia="ＭＳ Ｐゴシック" w:hAnsi="ＭＳ Ｐゴシック"/>
          <w:sz w:val="22"/>
          <w:szCs w:val="22"/>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Ⅲ-１-(１)-①　利用者を尊重した福祉サービス提供について共通の理解をもつための取組を行っている。</w:t>
      </w:r>
    </w:p>
    <w:p w:rsidR="00A470A7" w:rsidRPr="004A5E85"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Ⅲ-１-(１)-②　利用者のプライバシー保護等の権利擁護に配慮した福祉サービス提供が行われている。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A470A7"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bdr w:val="single" w:sz="4" w:space="0" w:color="auto" w:frame="1"/>
        </w:rPr>
      </w:pPr>
      <w:r w:rsidRPr="000C32FB">
        <w:rPr>
          <w:rFonts w:ascii="ＭＳ Ｐゴシック" w:eastAsia="ＭＳ Ｐゴシック" w:hAnsi="ＭＳ Ｐゴシック" w:hint="eastAsia"/>
          <w:sz w:val="22"/>
          <w:szCs w:val="22"/>
          <w:bdr w:val="single" w:sz="4" w:space="0" w:color="auto" w:frame="1"/>
        </w:rPr>
        <w:t>Ⅲ-１-(２)　福祉サービスの提供に関する説明と同意（自己決定）が適切に行われている。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30</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Ⅲ-１-(２)-①　利用希望者に対して福祉サービス選択に必要な情報を積極的に提供している。</w:t>
      </w:r>
    </w:p>
    <w:p w:rsidR="004A5E85" w:rsidRDefault="004A5E85"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Ⅲ-１-(２)-②　福祉サービスの開始・変更にあたり利用者等にわかりやすく説明している。</w:t>
      </w:r>
    </w:p>
    <w:p w:rsidR="004A5E85" w:rsidRDefault="004A5E85"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Ⅲ-１-(２)-③　福祉施設・事業所の変更や家庭への移行等にあたり福祉サービスの継続性に配慮した対応を行っている。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Ⅲ-１-(３)　利用者満足の向上に努めている。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Ⅲ-１-(３)-①　利用者満足の向上を目的とする仕組みを整備し、取組を行っている。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Ⅲ-１-(４)　利用者が意見等を述べやすい体制が確保されている。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Ⅲ-１-(４)-①　苦情解決の仕組みが確立しており、周知・機能している。</w:t>
      </w:r>
    </w:p>
    <w:p w:rsidR="004A5E85" w:rsidRDefault="004A5E85"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35</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Ⅲ-１-(４)-②　利用者が相談や意見を述べやすい環境を整備し、利用者等に周知している。</w:t>
      </w:r>
    </w:p>
    <w:p w:rsidR="004A5E85" w:rsidRDefault="004A5E85"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Ⅲ-１-(４)-③　利用者からの相談や意見に対して、組織的かつ迅速に対応している。</w:t>
      </w:r>
    </w:p>
    <w:p w:rsidR="00D70812" w:rsidRPr="000C32FB" w:rsidRDefault="00D70812"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Ⅲ-１-(５)　安心・安全な福祉サービスの提供のための組織的な取組が行われている。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Ⅲ-１-(５)-①　安心・安全な福祉サービスの提供を目的とするリスクマネジメント体制が構築されている。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Ⅲ-１-(５)-②　感染症の予防や発生時における利用者の安全確保のための体制を整備し、取組を行っている。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Ⅲ-１-(５)-③　災害時における利用者の安全確保のための取組を組織的に行っている。</w:t>
      </w:r>
    </w:p>
    <w:p w:rsidR="00A470A7" w:rsidRPr="000C32FB" w:rsidRDefault="00A470A7" w:rsidP="0039164A">
      <w:pPr>
        <w:wordWrap w:val="0"/>
        <w:autoSpaceDE w:val="0"/>
        <w:autoSpaceDN w:val="0"/>
        <w:snapToGrid w:val="0"/>
        <w:rPr>
          <w:rFonts w:ascii="ＭＳ Ｐゴシック" w:eastAsia="ＭＳ Ｐゴシック" w:hAnsi="ＭＳ Ｐゴシック"/>
          <w:sz w:val="22"/>
          <w:szCs w:val="22"/>
          <w:u w:val="single"/>
        </w:rPr>
      </w:pPr>
    </w:p>
    <w:p w:rsidR="00C245B2" w:rsidRDefault="00C245B2" w:rsidP="00A470A7">
      <w:pPr>
        <w:wordWrap w:val="0"/>
        <w:autoSpaceDE w:val="0"/>
        <w:autoSpaceDN w:val="0"/>
        <w:snapToGrid w:val="0"/>
        <w:rPr>
          <w:rFonts w:ascii="ＭＳ Ｐゴシック" w:eastAsia="ＭＳ Ｐゴシック" w:hAnsi="ＭＳ Ｐゴシック"/>
          <w:b/>
          <w:sz w:val="24"/>
        </w:rPr>
      </w:pPr>
    </w:p>
    <w:p w:rsidR="009922CC" w:rsidRDefault="009922CC" w:rsidP="00A470A7">
      <w:pPr>
        <w:wordWrap w:val="0"/>
        <w:autoSpaceDE w:val="0"/>
        <w:autoSpaceDN w:val="0"/>
        <w:snapToGrid w:val="0"/>
        <w:rPr>
          <w:rFonts w:ascii="ＭＳ Ｐゴシック" w:eastAsia="ＭＳ Ｐゴシック" w:hAnsi="ＭＳ Ｐゴシック"/>
          <w:b/>
          <w:sz w:val="24"/>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Ⅲ-２　福祉サービスの質の確保</w:t>
      </w: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Ⅲ-２-(１)　提供する福祉サービスの標準的な実施方法が確立している。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Ⅲ-２-(１)-①　提供する福祉サービスについて標準的な実施方法が文書化され福祉サービスが提供されている。</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bdr w:val="single" w:sz="4" w:space="0" w:color="auto"/>
        </w:rPr>
      </w:pPr>
    </w:p>
    <w:p w:rsidR="00A470A7" w:rsidRPr="000C32FB" w:rsidRDefault="00A470A7" w:rsidP="00A470A7">
      <w:pPr>
        <w:wordWrap w:val="0"/>
        <w:autoSpaceDE w:val="0"/>
        <w:autoSpaceDN w:val="0"/>
        <w:snapToGrid w:val="0"/>
        <w:ind w:leftChars="186" w:left="375" w:firstLineChars="100" w:firstLine="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Ⅲ-２-(１)-②　標準的な実施方法について見直しをする仕組みが確立している。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Ⅲ-２-(２)　適切なアセスメントにより福祉サービス実施計画が策定されている。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42</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Ⅲ-２-(２)-①　アセスメントにもとづく個別的な福祉サービス実施計画を適切に策定している。</w:t>
      </w:r>
    </w:p>
    <w:p w:rsidR="004A5E85" w:rsidRDefault="004A5E85"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4A5E85" w:rsidRDefault="00A470A7"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Ⅲ-２-(２)-②　定期的に</w:t>
      </w:r>
      <w:r w:rsidR="00777B61" w:rsidRPr="000C32FB">
        <w:rPr>
          <w:rFonts w:ascii="ＭＳ Ｐゴシック" w:eastAsia="ＭＳ Ｐゴシック" w:hAnsi="ＭＳ Ｐゴシック" w:hint="eastAsia"/>
          <w:sz w:val="22"/>
          <w:szCs w:val="22"/>
          <w:u w:val="single"/>
        </w:rPr>
        <w:t>福祉サービス実施計画</w:t>
      </w:r>
      <w:r w:rsidRPr="000C32FB">
        <w:rPr>
          <w:rFonts w:ascii="ＭＳ Ｐゴシック" w:eastAsia="ＭＳ Ｐゴシック" w:hAnsi="ＭＳ Ｐゴシック" w:hint="eastAsia"/>
          <w:sz w:val="22"/>
          <w:szCs w:val="22"/>
          <w:u w:val="single"/>
        </w:rPr>
        <w:t>の評価・見直しを行っている。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Ⅲ-２-(３)　福祉サービス実施の記録が適切に行われている。</w:t>
      </w:r>
    </w:p>
    <w:p w:rsidR="00A470A7" w:rsidRPr="000C32FB" w:rsidRDefault="00A470A7" w:rsidP="0039164A">
      <w:pPr>
        <w:wordWrap w:val="0"/>
        <w:autoSpaceDE w:val="0"/>
        <w:autoSpaceDN w:val="0"/>
        <w:snapToGrid w:val="0"/>
        <w:rPr>
          <w:rFonts w:ascii="ＭＳ Ｐゴシック" w:eastAsia="ＭＳ Ｐゴシック" w:hAnsi="ＭＳ Ｐゴシック"/>
          <w:sz w:val="22"/>
          <w:szCs w:val="22"/>
          <w:bdr w:val="single" w:sz="4" w:space="0" w:color="auto"/>
        </w:rPr>
      </w:pPr>
    </w:p>
    <w:p w:rsidR="004A5E85"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Ⅲ-２-(３)-①　利用者に関する福祉サービス実施状況の記録が適切に行われ、職員間で共有化さ</w:t>
      </w:r>
      <w:r w:rsidR="00C54B0E" w:rsidRPr="000C32FB">
        <w:rPr>
          <w:rFonts w:ascii="ＭＳ Ｐゴシック" w:eastAsia="ＭＳ Ｐゴシック" w:hAnsi="ＭＳ Ｐゴシック" w:hint="eastAsia"/>
          <w:sz w:val="22"/>
          <w:szCs w:val="22"/>
          <w:u w:val="single"/>
        </w:rPr>
        <w:t>れ</w:t>
      </w:r>
      <w:r w:rsidRPr="000C32FB">
        <w:rPr>
          <w:rFonts w:ascii="ＭＳ Ｐゴシック" w:eastAsia="ＭＳ Ｐゴシック" w:hAnsi="ＭＳ Ｐゴシック" w:hint="eastAsia"/>
          <w:sz w:val="22"/>
          <w:szCs w:val="22"/>
          <w:u w:val="single"/>
        </w:rPr>
        <w:t>ている。</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Ⅲ-２-(３)-②　利用者に関する記録の管理体制が確立している。</w:t>
      </w:r>
    </w:p>
    <w:p w:rsidR="00A470A7" w:rsidRPr="000C32FB" w:rsidRDefault="00A470A7" w:rsidP="00A470A7">
      <w:pPr>
        <w:rPr>
          <w:rFonts w:ascii="ＭＳ ゴシック" w:eastAsia="ＭＳ ゴシック" w:hAnsi="ＭＳ ゴシック"/>
          <w:b/>
          <w:sz w:val="24"/>
          <w:szCs w:val="24"/>
        </w:rPr>
      </w:pPr>
    </w:p>
    <w:sectPr w:rsidR="00A470A7" w:rsidRPr="000C32FB" w:rsidSect="006D67D3">
      <w:footerReference w:type="default" r:id="rId9"/>
      <w:footerReference w:type="first" r:id="rId10"/>
      <w:type w:val="continuous"/>
      <w:pgSz w:w="11906" w:h="16838" w:code="9"/>
      <w:pgMar w:top="851" w:right="1134" w:bottom="851" w:left="1134" w:header="567" w:footer="284" w:gutter="0"/>
      <w:pgNumType w:start="0"/>
      <w:cols w:space="425"/>
      <w:titlePg/>
      <w:docGrid w:type="linesAndChars" w:linePitch="30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8EF" w:rsidRDefault="00CC28EF">
      <w:r>
        <w:separator/>
      </w:r>
    </w:p>
  </w:endnote>
  <w:endnote w:type="continuationSeparator" w:id="0">
    <w:p w:rsidR="00CC28EF" w:rsidRDefault="00CC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EF" w:rsidRDefault="00CC28EF">
    <w:pPr>
      <w:pStyle w:val="a3"/>
      <w:jc w:val="center"/>
    </w:pPr>
  </w:p>
  <w:p w:rsidR="00CC28EF" w:rsidRDefault="00CC28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8EF" w:rsidRDefault="00CC28EF">
    <w:pPr>
      <w:pStyle w:val="a3"/>
      <w:jc w:val="center"/>
    </w:pPr>
  </w:p>
  <w:p w:rsidR="00CC28EF" w:rsidRDefault="00CC28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EF" w:rsidRDefault="00CC28EF">
      <w:r>
        <w:separator/>
      </w:r>
    </w:p>
  </w:footnote>
  <w:footnote w:type="continuationSeparator" w:id="0">
    <w:p w:rsidR="00CC28EF" w:rsidRDefault="00CC2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nsid w:val="14E0114B"/>
    <w:multiLevelType w:val="hybridMultilevel"/>
    <w:tmpl w:val="BB10F23A"/>
    <w:lvl w:ilvl="0" w:tplc="2B38475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250E532B"/>
    <w:multiLevelType w:val="hybridMultilevel"/>
    <w:tmpl w:val="E6781F00"/>
    <w:lvl w:ilvl="0" w:tplc="85207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5">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nsid w:val="4AD7587E"/>
    <w:multiLevelType w:val="hybridMultilevel"/>
    <w:tmpl w:val="41687EC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nsid w:val="53437F1B"/>
    <w:multiLevelType w:val="hybridMultilevel"/>
    <w:tmpl w:val="5718AFA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67EB7009"/>
    <w:multiLevelType w:val="hybridMultilevel"/>
    <w:tmpl w:val="D42E6BB8"/>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2">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4"/>
  </w:num>
  <w:num w:numId="2">
    <w:abstractNumId w:val="10"/>
  </w:num>
  <w:num w:numId="3">
    <w:abstractNumId w:val="0"/>
  </w:num>
  <w:num w:numId="4">
    <w:abstractNumId w:val="13"/>
  </w:num>
  <w:num w:numId="5">
    <w:abstractNumId w:val="7"/>
  </w:num>
  <w:num w:numId="6">
    <w:abstractNumId w:val="1"/>
  </w:num>
  <w:num w:numId="7">
    <w:abstractNumId w:val="15"/>
  </w:num>
  <w:num w:numId="8">
    <w:abstractNumId w:val="5"/>
  </w:num>
  <w:num w:numId="9">
    <w:abstractNumId w:val="9"/>
  </w:num>
  <w:num w:numId="10">
    <w:abstractNumId w:val="14"/>
  </w:num>
  <w:num w:numId="11">
    <w:abstractNumId w:val="12"/>
  </w:num>
  <w:num w:numId="12">
    <w:abstractNumId w:val="2"/>
  </w:num>
  <w:num w:numId="13">
    <w:abstractNumId w:val="1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787"/>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172FE"/>
    <w:rsid w:val="00042013"/>
    <w:rsid w:val="00044798"/>
    <w:rsid w:val="00044D5D"/>
    <w:rsid w:val="000461B1"/>
    <w:rsid w:val="00065063"/>
    <w:rsid w:val="00066BC9"/>
    <w:rsid w:val="000753D1"/>
    <w:rsid w:val="00087BC9"/>
    <w:rsid w:val="00092A24"/>
    <w:rsid w:val="0009447A"/>
    <w:rsid w:val="0009547A"/>
    <w:rsid w:val="000A4D2D"/>
    <w:rsid w:val="000A776B"/>
    <w:rsid w:val="000B109E"/>
    <w:rsid w:val="000C32FB"/>
    <w:rsid w:val="000C3922"/>
    <w:rsid w:val="000D3F10"/>
    <w:rsid w:val="000E17F0"/>
    <w:rsid w:val="000E4623"/>
    <w:rsid w:val="000E5279"/>
    <w:rsid w:val="000E64D2"/>
    <w:rsid w:val="000E6D3B"/>
    <w:rsid w:val="000E7722"/>
    <w:rsid w:val="000F27AE"/>
    <w:rsid w:val="000F4502"/>
    <w:rsid w:val="001006EB"/>
    <w:rsid w:val="00100B27"/>
    <w:rsid w:val="00102F25"/>
    <w:rsid w:val="00104F91"/>
    <w:rsid w:val="00105862"/>
    <w:rsid w:val="00105A8B"/>
    <w:rsid w:val="00105DC9"/>
    <w:rsid w:val="00106E0A"/>
    <w:rsid w:val="00106FA7"/>
    <w:rsid w:val="001110AA"/>
    <w:rsid w:val="00111DC5"/>
    <w:rsid w:val="00116829"/>
    <w:rsid w:val="00116F19"/>
    <w:rsid w:val="00121C3B"/>
    <w:rsid w:val="00121FB3"/>
    <w:rsid w:val="00125169"/>
    <w:rsid w:val="0013390F"/>
    <w:rsid w:val="00134AF1"/>
    <w:rsid w:val="00134C17"/>
    <w:rsid w:val="00135C3D"/>
    <w:rsid w:val="00143868"/>
    <w:rsid w:val="0014622E"/>
    <w:rsid w:val="00150CEC"/>
    <w:rsid w:val="00151C4A"/>
    <w:rsid w:val="00160CD0"/>
    <w:rsid w:val="00172854"/>
    <w:rsid w:val="001812AC"/>
    <w:rsid w:val="00184C64"/>
    <w:rsid w:val="00184D02"/>
    <w:rsid w:val="0019405A"/>
    <w:rsid w:val="00194B23"/>
    <w:rsid w:val="00197EE4"/>
    <w:rsid w:val="001A2837"/>
    <w:rsid w:val="001A3ACC"/>
    <w:rsid w:val="001A72B0"/>
    <w:rsid w:val="001B222E"/>
    <w:rsid w:val="001C25CA"/>
    <w:rsid w:val="001C5F3C"/>
    <w:rsid w:val="001C6534"/>
    <w:rsid w:val="001D157B"/>
    <w:rsid w:val="001D6A77"/>
    <w:rsid w:val="001E4D7F"/>
    <w:rsid w:val="001E76EA"/>
    <w:rsid w:val="00203FBF"/>
    <w:rsid w:val="002066C6"/>
    <w:rsid w:val="002119FA"/>
    <w:rsid w:val="00217725"/>
    <w:rsid w:val="002207DE"/>
    <w:rsid w:val="002319C4"/>
    <w:rsid w:val="0023383A"/>
    <w:rsid w:val="00242457"/>
    <w:rsid w:val="002426E7"/>
    <w:rsid w:val="0025131D"/>
    <w:rsid w:val="00261900"/>
    <w:rsid w:val="002651F5"/>
    <w:rsid w:val="002706A8"/>
    <w:rsid w:val="00271705"/>
    <w:rsid w:val="00272183"/>
    <w:rsid w:val="0027398E"/>
    <w:rsid w:val="00275DC9"/>
    <w:rsid w:val="002803DE"/>
    <w:rsid w:val="00285D3C"/>
    <w:rsid w:val="00285D59"/>
    <w:rsid w:val="00291525"/>
    <w:rsid w:val="002A03C5"/>
    <w:rsid w:val="002A4D0B"/>
    <w:rsid w:val="002A5A12"/>
    <w:rsid w:val="002A79B2"/>
    <w:rsid w:val="002B6388"/>
    <w:rsid w:val="002D37FD"/>
    <w:rsid w:val="002D76D9"/>
    <w:rsid w:val="002E3F25"/>
    <w:rsid w:val="002F12AA"/>
    <w:rsid w:val="002F4494"/>
    <w:rsid w:val="002F525E"/>
    <w:rsid w:val="003003FC"/>
    <w:rsid w:val="00301D5B"/>
    <w:rsid w:val="00302A69"/>
    <w:rsid w:val="00305008"/>
    <w:rsid w:val="00310557"/>
    <w:rsid w:val="003229EE"/>
    <w:rsid w:val="00327A76"/>
    <w:rsid w:val="00331FDB"/>
    <w:rsid w:val="00333A51"/>
    <w:rsid w:val="00333EF1"/>
    <w:rsid w:val="003350BA"/>
    <w:rsid w:val="00340A08"/>
    <w:rsid w:val="00341ACB"/>
    <w:rsid w:val="003461D4"/>
    <w:rsid w:val="00346F93"/>
    <w:rsid w:val="00352499"/>
    <w:rsid w:val="00356A14"/>
    <w:rsid w:val="003571CF"/>
    <w:rsid w:val="003571F2"/>
    <w:rsid w:val="003574E1"/>
    <w:rsid w:val="00360C51"/>
    <w:rsid w:val="00362F61"/>
    <w:rsid w:val="003631D2"/>
    <w:rsid w:val="00383CDD"/>
    <w:rsid w:val="0039164A"/>
    <w:rsid w:val="00395BB5"/>
    <w:rsid w:val="00397906"/>
    <w:rsid w:val="003A14B4"/>
    <w:rsid w:val="003A3A3D"/>
    <w:rsid w:val="003A4099"/>
    <w:rsid w:val="003A4F72"/>
    <w:rsid w:val="003B1273"/>
    <w:rsid w:val="003B1FC6"/>
    <w:rsid w:val="003C21D2"/>
    <w:rsid w:val="003C5D0D"/>
    <w:rsid w:val="003D29CA"/>
    <w:rsid w:val="003D3E28"/>
    <w:rsid w:val="003E322C"/>
    <w:rsid w:val="003E40A6"/>
    <w:rsid w:val="003F211C"/>
    <w:rsid w:val="003F22C0"/>
    <w:rsid w:val="003F54EB"/>
    <w:rsid w:val="00400B10"/>
    <w:rsid w:val="00404F44"/>
    <w:rsid w:val="00407A17"/>
    <w:rsid w:val="00422C4E"/>
    <w:rsid w:val="0042623F"/>
    <w:rsid w:val="00441811"/>
    <w:rsid w:val="004432A2"/>
    <w:rsid w:val="004506AF"/>
    <w:rsid w:val="00456F29"/>
    <w:rsid w:val="00461143"/>
    <w:rsid w:val="00461238"/>
    <w:rsid w:val="0046213D"/>
    <w:rsid w:val="004643DF"/>
    <w:rsid w:val="004651E6"/>
    <w:rsid w:val="00470FB9"/>
    <w:rsid w:val="00471F77"/>
    <w:rsid w:val="004723C2"/>
    <w:rsid w:val="00473614"/>
    <w:rsid w:val="00477348"/>
    <w:rsid w:val="00480B4E"/>
    <w:rsid w:val="00483A50"/>
    <w:rsid w:val="00486495"/>
    <w:rsid w:val="00486C0C"/>
    <w:rsid w:val="004904AB"/>
    <w:rsid w:val="00493647"/>
    <w:rsid w:val="004975E1"/>
    <w:rsid w:val="00497725"/>
    <w:rsid w:val="004A5239"/>
    <w:rsid w:val="004A5E85"/>
    <w:rsid w:val="004B2D4E"/>
    <w:rsid w:val="004B6001"/>
    <w:rsid w:val="004C2A66"/>
    <w:rsid w:val="004C5DAC"/>
    <w:rsid w:val="004C6E30"/>
    <w:rsid w:val="004D3C1E"/>
    <w:rsid w:val="004D5C37"/>
    <w:rsid w:val="004D6DE2"/>
    <w:rsid w:val="004E2B0B"/>
    <w:rsid w:val="004F2408"/>
    <w:rsid w:val="004F5667"/>
    <w:rsid w:val="0050544A"/>
    <w:rsid w:val="00507EEF"/>
    <w:rsid w:val="0051208F"/>
    <w:rsid w:val="00514140"/>
    <w:rsid w:val="00516A0C"/>
    <w:rsid w:val="0052544C"/>
    <w:rsid w:val="005267D5"/>
    <w:rsid w:val="00535429"/>
    <w:rsid w:val="00536233"/>
    <w:rsid w:val="00542A6F"/>
    <w:rsid w:val="00550EA0"/>
    <w:rsid w:val="005565D0"/>
    <w:rsid w:val="00557C27"/>
    <w:rsid w:val="005671B7"/>
    <w:rsid w:val="00573654"/>
    <w:rsid w:val="00574E74"/>
    <w:rsid w:val="00576DB4"/>
    <w:rsid w:val="00581BA4"/>
    <w:rsid w:val="005827B2"/>
    <w:rsid w:val="00583709"/>
    <w:rsid w:val="005844B1"/>
    <w:rsid w:val="00586F49"/>
    <w:rsid w:val="005926EC"/>
    <w:rsid w:val="005A212A"/>
    <w:rsid w:val="005A27D9"/>
    <w:rsid w:val="005A325D"/>
    <w:rsid w:val="005A33CD"/>
    <w:rsid w:val="005A404A"/>
    <w:rsid w:val="005A5A97"/>
    <w:rsid w:val="005A6545"/>
    <w:rsid w:val="005A6D05"/>
    <w:rsid w:val="005B0192"/>
    <w:rsid w:val="005B3AD2"/>
    <w:rsid w:val="005C2AEA"/>
    <w:rsid w:val="005D2EB9"/>
    <w:rsid w:val="005D32C3"/>
    <w:rsid w:val="005E0546"/>
    <w:rsid w:val="005E3ED1"/>
    <w:rsid w:val="005E4A3F"/>
    <w:rsid w:val="005F0846"/>
    <w:rsid w:val="00601120"/>
    <w:rsid w:val="006029DD"/>
    <w:rsid w:val="00604244"/>
    <w:rsid w:val="006107F3"/>
    <w:rsid w:val="00612270"/>
    <w:rsid w:val="0061276A"/>
    <w:rsid w:val="00613525"/>
    <w:rsid w:val="00613B6A"/>
    <w:rsid w:val="00616C3E"/>
    <w:rsid w:val="00617CF7"/>
    <w:rsid w:val="00623B30"/>
    <w:rsid w:val="00624ECA"/>
    <w:rsid w:val="006261E1"/>
    <w:rsid w:val="006408DF"/>
    <w:rsid w:val="00640E65"/>
    <w:rsid w:val="00641785"/>
    <w:rsid w:val="00642B76"/>
    <w:rsid w:val="00645F89"/>
    <w:rsid w:val="00657F5F"/>
    <w:rsid w:val="00660ADF"/>
    <w:rsid w:val="006613BC"/>
    <w:rsid w:val="006654F7"/>
    <w:rsid w:val="00667E25"/>
    <w:rsid w:val="006715DA"/>
    <w:rsid w:val="006833B1"/>
    <w:rsid w:val="006929BE"/>
    <w:rsid w:val="006932D2"/>
    <w:rsid w:val="00693CE6"/>
    <w:rsid w:val="006955EB"/>
    <w:rsid w:val="006A1C30"/>
    <w:rsid w:val="006A20D6"/>
    <w:rsid w:val="006A452C"/>
    <w:rsid w:val="006A6230"/>
    <w:rsid w:val="006A6693"/>
    <w:rsid w:val="006A7B46"/>
    <w:rsid w:val="006B0811"/>
    <w:rsid w:val="006B0A55"/>
    <w:rsid w:val="006B108B"/>
    <w:rsid w:val="006B3926"/>
    <w:rsid w:val="006C6A80"/>
    <w:rsid w:val="006D12B4"/>
    <w:rsid w:val="006D4728"/>
    <w:rsid w:val="006D67D3"/>
    <w:rsid w:val="006D6C07"/>
    <w:rsid w:val="006E0392"/>
    <w:rsid w:val="006F3469"/>
    <w:rsid w:val="007036C3"/>
    <w:rsid w:val="00711097"/>
    <w:rsid w:val="007121B0"/>
    <w:rsid w:val="00713444"/>
    <w:rsid w:val="00715570"/>
    <w:rsid w:val="0072256B"/>
    <w:rsid w:val="007423C5"/>
    <w:rsid w:val="00744777"/>
    <w:rsid w:val="0074572B"/>
    <w:rsid w:val="00746540"/>
    <w:rsid w:val="00755DA8"/>
    <w:rsid w:val="00756DB0"/>
    <w:rsid w:val="0076046C"/>
    <w:rsid w:val="007650ED"/>
    <w:rsid w:val="00772EFD"/>
    <w:rsid w:val="00772F3E"/>
    <w:rsid w:val="00774843"/>
    <w:rsid w:val="00774C0D"/>
    <w:rsid w:val="00777B61"/>
    <w:rsid w:val="00790BAC"/>
    <w:rsid w:val="00794B94"/>
    <w:rsid w:val="0079517B"/>
    <w:rsid w:val="007B0CD4"/>
    <w:rsid w:val="007B4BEA"/>
    <w:rsid w:val="007C20FB"/>
    <w:rsid w:val="007C2A22"/>
    <w:rsid w:val="007D5D53"/>
    <w:rsid w:val="007D7064"/>
    <w:rsid w:val="007D74A2"/>
    <w:rsid w:val="007E090E"/>
    <w:rsid w:val="007E45F8"/>
    <w:rsid w:val="007E693F"/>
    <w:rsid w:val="007F2399"/>
    <w:rsid w:val="007F34DD"/>
    <w:rsid w:val="007F5F97"/>
    <w:rsid w:val="00807BED"/>
    <w:rsid w:val="00817851"/>
    <w:rsid w:val="00820C58"/>
    <w:rsid w:val="0082735B"/>
    <w:rsid w:val="008425B5"/>
    <w:rsid w:val="008500C9"/>
    <w:rsid w:val="00850868"/>
    <w:rsid w:val="00851E1B"/>
    <w:rsid w:val="00856436"/>
    <w:rsid w:val="00857FB0"/>
    <w:rsid w:val="00864D9C"/>
    <w:rsid w:val="00866342"/>
    <w:rsid w:val="00867DEE"/>
    <w:rsid w:val="0087001B"/>
    <w:rsid w:val="0087341D"/>
    <w:rsid w:val="00873DB1"/>
    <w:rsid w:val="008776EF"/>
    <w:rsid w:val="00877B02"/>
    <w:rsid w:val="00887338"/>
    <w:rsid w:val="00890C79"/>
    <w:rsid w:val="00893E66"/>
    <w:rsid w:val="0089615D"/>
    <w:rsid w:val="008A23BA"/>
    <w:rsid w:val="008A4585"/>
    <w:rsid w:val="008A476E"/>
    <w:rsid w:val="008A529F"/>
    <w:rsid w:val="008A7DD7"/>
    <w:rsid w:val="008B5E5B"/>
    <w:rsid w:val="008B7B6F"/>
    <w:rsid w:val="008C1719"/>
    <w:rsid w:val="008C176E"/>
    <w:rsid w:val="008C6A0B"/>
    <w:rsid w:val="008C6E2E"/>
    <w:rsid w:val="008D01DD"/>
    <w:rsid w:val="008D3D49"/>
    <w:rsid w:val="008D4027"/>
    <w:rsid w:val="008D6431"/>
    <w:rsid w:val="008E1891"/>
    <w:rsid w:val="008E5D8B"/>
    <w:rsid w:val="008F1574"/>
    <w:rsid w:val="008F532B"/>
    <w:rsid w:val="00903EAB"/>
    <w:rsid w:val="00907CFA"/>
    <w:rsid w:val="00913621"/>
    <w:rsid w:val="00914CF5"/>
    <w:rsid w:val="009168F2"/>
    <w:rsid w:val="0092017C"/>
    <w:rsid w:val="009219C5"/>
    <w:rsid w:val="00930A6E"/>
    <w:rsid w:val="00934ACE"/>
    <w:rsid w:val="00941964"/>
    <w:rsid w:val="009426F6"/>
    <w:rsid w:val="00944FEE"/>
    <w:rsid w:val="0094605F"/>
    <w:rsid w:val="00950B66"/>
    <w:rsid w:val="00950D22"/>
    <w:rsid w:val="00952701"/>
    <w:rsid w:val="00952F3E"/>
    <w:rsid w:val="00955C73"/>
    <w:rsid w:val="00962A33"/>
    <w:rsid w:val="00971151"/>
    <w:rsid w:val="00974CC5"/>
    <w:rsid w:val="00974DB5"/>
    <w:rsid w:val="009754B9"/>
    <w:rsid w:val="00975E3B"/>
    <w:rsid w:val="0098042F"/>
    <w:rsid w:val="00986F3E"/>
    <w:rsid w:val="00991991"/>
    <w:rsid w:val="009922CC"/>
    <w:rsid w:val="009A315D"/>
    <w:rsid w:val="009A4D0E"/>
    <w:rsid w:val="009A6A05"/>
    <w:rsid w:val="009B0029"/>
    <w:rsid w:val="009B0C48"/>
    <w:rsid w:val="009B2017"/>
    <w:rsid w:val="009B5AE2"/>
    <w:rsid w:val="009C16C3"/>
    <w:rsid w:val="009C1FF6"/>
    <w:rsid w:val="009C6908"/>
    <w:rsid w:val="009D26B3"/>
    <w:rsid w:val="009D6FCD"/>
    <w:rsid w:val="009E2B24"/>
    <w:rsid w:val="009E3DD5"/>
    <w:rsid w:val="009F40E2"/>
    <w:rsid w:val="009F4299"/>
    <w:rsid w:val="009F4CFC"/>
    <w:rsid w:val="009F5C43"/>
    <w:rsid w:val="009F5E93"/>
    <w:rsid w:val="009F636E"/>
    <w:rsid w:val="009F749E"/>
    <w:rsid w:val="00A00879"/>
    <w:rsid w:val="00A010BB"/>
    <w:rsid w:val="00A0183D"/>
    <w:rsid w:val="00A01F04"/>
    <w:rsid w:val="00A023B7"/>
    <w:rsid w:val="00A033B6"/>
    <w:rsid w:val="00A036CC"/>
    <w:rsid w:val="00A0735C"/>
    <w:rsid w:val="00A10B6F"/>
    <w:rsid w:val="00A13381"/>
    <w:rsid w:val="00A204B6"/>
    <w:rsid w:val="00A21761"/>
    <w:rsid w:val="00A2758A"/>
    <w:rsid w:val="00A37D45"/>
    <w:rsid w:val="00A40E70"/>
    <w:rsid w:val="00A41CFB"/>
    <w:rsid w:val="00A470A7"/>
    <w:rsid w:val="00A50671"/>
    <w:rsid w:val="00A531E7"/>
    <w:rsid w:val="00A547E9"/>
    <w:rsid w:val="00A5636E"/>
    <w:rsid w:val="00A57AC2"/>
    <w:rsid w:val="00A6260B"/>
    <w:rsid w:val="00A72F8E"/>
    <w:rsid w:val="00A74D4C"/>
    <w:rsid w:val="00A813A3"/>
    <w:rsid w:val="00A85B97"/>
    <w:rsid w:val="00AA08FD"/>
    <w:rsid w:val="00AB02C6"/>
    <w:rsid w:val="00AC1637"/>
    <w:rsid w:val="00AC7502"/>
    <w:rsid w:val="00AC7A4C"/>
    <w:rsid w:val="00AD0255"/>
    <w:rsid w:val="00AD1398"/>
    <w:rsid w:val="00AD3224"/>
    <w:rsid w:val="00AD7F0B"/>
    <w:rsid w:val="00AE7AF6"/>
    <w:rsid w:val="00AF13D3"/>
    <w:rsid w:val="00AF1E2F"/>
    <w:rsid w:val="00AF326D"/>
    <w:rsid w:val="00AF5DF3"/>
    <w:rsid w:val="00B00778"/>
    <w:rsid w:val="00B0418C"/>
    <w:rsid w:val="00B04D04"/>
    <w:rsid w:val="00B05A93"/>
    <w:rsid w:val="00B1117F"/>
    <w:rsid w:val="00B121A6"/>
    <w:rsid w:val="00B15F6C"/>
    <w:rsid w:val="00B268A3"/>
    <w:rsid w:val="00B31A84"/>
    <w:rsid w:val="00B3300E"/>
    <w:rsid w:val="00B3759F"/>
    <w:rsid w:val="00B37A78"/>
    <w:rsid w:val="00B45F75"/>
    <w:rsid w:val="00B46907"/>
    <w:rsid w:val="00B47A62"/>
    <w:rsid w:val="00B502D6"/>
    <w:rsid w:val="00B51C02"/>
    <w:rsid w:val="00B56CE1"/>
    <w:rsid w:val="00B625BA"/>
    <w:rsid w:val="00B64853"/>
    <w:rsid w:val="00B64B7E"/>
    <w:rsid w:val="00B7136C"/>
    <w:rsid w:val="00B75C95"/>
    <w:rsid w:val="00B919ED"/>
    <w:rsid w:val="00B91B1C"/>
    <w:rsid w:val="00B93FB3"/>
    <w:rsid w:val="00B961BC"/>
    <w:rsid w:val="00BA31F8"/>
    <w:rsid w:val="00BA5533"/>
    <w:rsid w:val="00BB2D19"/>
    <w:rsid w:val="00BC0F62"/>
    <w:rsid w:val="00BC2225"/>
    <w:rsid w:val="00BD06F1"/>
    <w:rsid w:val="00BD23E5"/>
    <w:rsid w:val="00BD2DF2"/>
    <w:rsid w:val="00BD73FA"/>
    <w:rsid w:val="00BE1D97"/>
    <w:rsid w:val="00BE4902"/>
    <w:rsid w:val="00BE56FD"/>
    <w:rsid w:val="00C0327F"/>
    <w:rsid w:val="00C05FC2"/>
    <w:rsid w:val="00C125A5"/>
    <w:rsid w:val="00C222E3"/>
    <w:rsid w:val="00C245B2"/>
    <w:rsid w:val="00C2615B"/>
    <w:rsid w:val="00C31B79"/>
    <w:rsid w:val="00C31D3F"/>
    <w:rsid w:val="00C43895"/>
    <w:rsid w:val="00C4403F"/>
    <w:rsid w:val="00C44695"/>
    <w:rsid w:val="00C4698F"/>
    <w:rsid w:val="00C53F3D"/>
    <w:rsid w:val="00C54B0E"/>
    <w:rsid w:val="00C5647E"/>
    <w:rsid w:val="00C60A4F"/>
    <w:rsid w:val="00C61CE2"/>
    <w:rsid w:val="00C63D96"/>
    <w:rsid w:val="00C65E63"/>
    <w:rsid w:val="00C73001"/>
    <w:rsid w:val="00C760AE"/>
    <w:rsid w:val="00C85E34"/>
    <w:rsid w:val="00C8669A"/>
    <w:rsid w:val="00C87CD7"/>
    <w:rsid w:val="00C957B4"/>
    <w:rsid w:val="00CB469A"/>
    <w:rsid w:val="00CC28EF"/>
    <w:rsid w:val="00CC34D2"/>
    <w:rsid w:val="00CC4B5B"/>
    <w:rsid w:val="00CC7A5C"/>
    <w:rsid w:val="00CC7EBB"/>
    <w:rsid w:val="00CD062D"/>
    <w:rsid w:val="00CD29C4"/>
    <w:rsid w:val="00CD48EF"/>
    <w:rsid w:val="00CD55F7"/>
    <w:rsid w:val="00CD6E1F"/>
    <w:rsid w:val="00CE2858"/>
    <w:rsid w:val="00CE467A"/>
    <w:rsid w:val="00CE5176"/>
    <w:rsid w:val="00CF358D"/>
    <w:rsid w:val="00D04061"/>
    <w:rsid w:val="00D1283A"/>
    <w:rsid w:val="00D15537"/>
    <w:rsid w:val="00D201A3"/>
    <w:rsid w:val="00D22826"/>
    <w:rsid w:val="00D24867"/>
    <w:rsid w:val="00D26EEE"/>
    <w:rsid w:val="00D339BE"/>
    <w:rsid w:val="00D33A49"/>
    <w:rsid w:val="00D34B3B"/>
    <w:rsid w:val="00D3618A"/>
    <w:rsid w:val="00D36F03"/>
    <w:rsid w:val="00D4196C"/>
    <w:rsid w:val="00D50B03"/>
    <w:rsid w:val="00D5184E"/>
    <w:rsid w:val="00D51929"/>
    <w:rsid w:val="00D62173"/>
    <w:rsid w:val="00D6758A"/>
    <w:rsid w:val="00D70812"/>
    <w:rsid w:val="00D71055"/>
    <w:rsid w:val="00D73664"/>
    <w:rsid w:val="00D80C08"/>
    <w:rsid w:val="00D90ABF"/>
    <w:rsid w:val="00DA0A0C"/>
    <w:rsid w:val="00DA0EB4"/>
    <w:rsid w:val="00DA3668"/>
    <w:rsid w:val="00DA5A2C"/>
    <w:rsid w:val="00DA69A6"/>
    <w:rsid w:val="00DA6BC5"/>
    <w:rsid w:val="00DB17BD"/>
    <w:rsid w:val="00DB2A11"/>
    <w:rsid w:val="00DB71B5"/>
    <w:rsid w:val="00DC2900"/>
    <w:rsid w:val="00DC7D58"/>
    <w:rsid w:val="00DD2004"/>
    <w:rsid w:val="00DD25F5"/>
    <w:rsid w:val="00DD70AE"/>
    <w:rsid w:val="00DE200D"/>
    <w:rsid w:val="00DF30C8"/>
    <w:rsid w:val="00E12F06"/>
    <w:rsid w:val="00E24186"/>
    <w:rsid w:val="00E33056"/>
    <w:rsid w:val="00E34895"/>
    <w:rsid w:val="00E4073A"/>
    <w:rsid w:val="00E41223"/>
    <w:rsid w:val="00E4425C"/>
    <w:rsid w:val="00E45634"/>
    <w:rsid w:val="00E567C2"/>
    <w:rsid w:val="00E613D9"/>
    <w:rsid w:val="00E67104"/>
    <w:rsid w:val="00E72D3F"/>
    <w:rsid w:val="00E7325A"/>
    <w:rsid w:val="00E73CFA"/>
    <w:rsid w:val="00E73DD6"/>
    <w:rsid w:val="00E76C36"/>
    <w:rsid w:val="00E8319C"/>
    <w:rsid w:val="00E832E5"/>
    <w:rsid w:val="00E871EF"/>
    <w:rsid w:val="00E87BD0"/>
    <w:rsid w:val="00E90E8A"/>
    <w:rsid w:val="00E91199"/>
    <w:rsid w:val="00E924ED"/>
    <w:rsid w:val="00E92784"/>
    <w:rsid w:val="00E94E6F"/>
    <w:rsid w:val="00E9539B"/>
    <w:rsid w:val="00E9540B"/>
    <w:rsid w:val="00E96952"/>
    <w:rsid w:val="00E96F16"/>
    <w:rsid w:val="00EA3A65"/>
    <w:rsid w:val="00EA6178"/>
    <w:rsid w:val="00EA642E"/>
    <w:rsid w:val="00EB2FAC"/>
    <w:rsid w:val="00EB4325"/>
    <w:rsid w:val="00EB50C4"/>
    <w:rsid w:val="00EC29D1"/>
    <w:rsid w:val="00EC492E"/>
    <w:rsid w:val="00EC4BB5"/>
    <w:rsid w:val="00EC5D48"/>
    <w:rsid w:val="00ED5CBF"/>
    <w:rsid w:val="00ED7E7F"/>
    <w:rsid w:val="00EE4EA7"/>
    <w:rsid w:val="00EE62C7"/>
    <w:rsid w:val="00EE7AE8"/>
    <w:rsid w:val="00EE7C15"/>
    <w:rsid w:val="00EF0077"/>
    <w:rsid w:val="00EF1ECC"/>
    <w:rsid w:val="00EF778E"/>
    <w:rsid w:val="00F015DB"/>
    <w:rsid w:val="00F02017"/>
    <w:rsid w:val="00F021ED"/>
    <w:rsid w:val="00F0271C"/>
    <w:rsid w:val="00F03430"/>
    <w:rsid w:val="00F102EA"/>
    <w:rsid w:val="00F10E88"/>
    <w:rsid w:val="00F225AD"/>
    <w:rsid w:val="00F27438"/>
    <w:rsid w:val="00F30A55"/>
    <w:rsid w:val="00F33ADF"/>
    <w:rsid w:val="00F33B40"/>
    <w:rsid w:val="00F36E79"/>
    <w:rsid w:val="00F3711C"/>
    <w:rsid w:val="00F37F9A"/>
    <w:rsid w:val="00F417FF"/>
    <w:rsid w:val="00F42B0D"/>
    <w:rsid w:val="00F53278"/>
    <w:rsid w:val="00F557B7"/>
    <w:rsid w:val="00F60307"/>
    <w:rsid w:val="00F62266"/>
    <w:rsid w:val="00F700BE"/>
    <w:rsid w:val="00F721D7"/>
    <w:rsid w:val="00F7473B"/>
    <w:rsid w:val="00F75FFB"/>
    <w:rsid w:val="00F761DF"/>
    <w:rsid w:val="00F9661E"/>
    <w:rsid w:val="00FA0987"/>
    <w:rsid w:val="00FA452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D251-9873-4055-AFE1-FF038B21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2707</Words>
  <Characters>439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cp:revision>68</cp:revision>
  <cp:lastPrinted>2016-08-15T07:02:00Z</cp:lastPrinted>
  <dcterms:created xsi:type="dcterms:W3CDTF">2016-02-01T06:41:00Z</dcterms:created>
  <dcterms:modified xsi:type="dcterms:W3CDTF">2017-01-10T04:02:00Z</dcterms:modified>
</cp:coreProperties>
</file>