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【別紙１】</w:t>
      </w: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ゴシック" w:hAnsi="Times New Roman" w:cs="ＭＳ ゴシック" w:hint="eastAsia"/>
          <w:b/>
          <w:bCs/>
          <w:color w:val="000000"/>
          <w:spacing w:val="10"/>
          <w:kern w:val="0"/>
          <w:sz w:val="32"/>
          <w:szCs w:val="32"/>
        </w:rPr>
        <w:t>肥料取扱実績報告の記入上の注意事項</w:t>
      </w: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この報告は、</w:t>
      </w:r>
      <w:r w:rsidR="00243D3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肥料の品質の確保等に関する法律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</w:t>
      </w:r>
      <w:r w:rsidRPr="00036BB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29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条及び</w:t>
      </w:r>
      <w:r w:rsidR="00243D3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肥料の品質の確保等に関する法律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施行細則（昭和２５年岩手県規則第５０号）第４条の規定によるものです。</w:t>
      </w:r>
    </w:p>
    <w:p w:rsidR="00036BBF" w:rsidRPr="00243D32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9"/>
          <w:szCs w:val="19"/>
        </w:rPr>
        <w:t>１　報告対象肥料</w:t>
      </w:r>
    </w:p>
    <w:p w:rsidR="00036BBF" w:rsidRPr="008938A5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8938A5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（１）</w:t>
      </w:r>
      <w:r w:rsidRPr="008938A5">
        <w:rPr>
          <w:rFonts w:ascii="ＭＳ 明朝" w:eastAsia="ＭＳ 明朝" w:hAnsi="ＭＳ 明朝" w:cs="ＭＳ 明朝" w:hint="eastAsia"/>
          <w:bCs/>
          <w:color w:val="000000"/>
          <w:kern w:val="0"/>
          <w:sz w:val="19"/>
          <w:szCs w:val="19"/>
        </w:rPr>
        <w:t>特約メーカー及び中央卸業者から直接取引したもの</w:t>
      </w:r>
      <w:r w:rsidRPr="008938A5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とする。</w:t>
      </w:r>
    </w:p>
    <w:p w:rsidR="00036BBF" w:rsidRPr="008938A5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8938A5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（２）県外にも販売する業者にあっては、</w:t>
      </w:r>
      <w:r w:rsidRPr="008938A5">
        <w:rPr>
          <w:rFonts w:ascii="ＭＳ 明朝" w:eastAsia="ＭＳ 明朝" w:hAnsi="ＭＳ 明朝" w:cs="ＭＳ 明朝" w:hint="eastAsia"/>
          <w:bCs/>
          <w:color w:val="000000"/>
          <w:kern w:val="0"/>
          <w:sz w:val="19"/>
          <w:szCs w:val="19"/>
        </w:rPr>
        <w:t>県内分のみ</w:t>
      </w:r>
      <w:r w:rsidRPr="008938A5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とする。</w:t>
      </w:r>
    </w:p>
    <w:p w:rsidR="00036BBF" w:rsidRPr="008938A5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8938A5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（３）県内の卸業者間の取引は除く。</w:t>
      </w: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9"/>
          <w:szCs w:val="19"/>
        </w:rPr>
        <w:t>２　肥料の種類及び名称について</w:t>
      </w:r>
    </w:p>
    <w:p w:rsidR="00036BBF" w:rsidRPr="00036BBF" w:rsidRDefault="00036BBF" w:rsidP="008938A5">
      <w:pPr>
        <w:suppressAutoHyphens/>
        <w:wordWrap w:val="0"/>
        <w:ind w:left="440" w:hangingChars="200" w:hanging="4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（１）肥料袋に記載されている「生産業者保証票」もしくは「販売業者保証票」を確認して、　生産業者名、</w:t>
      </w:r>
      <w:r w:rsidRPr="00036BB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肥料の種類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、</w:t>
      </w:r>
      <w:r w:rsidRPr="00036BB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肥料の名称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及び</w:t>
      </w:r>
      <w:r w:rsidRPr="00036BB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>成分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を正しく記入すること。</w:t>
      </w:r>
    </w:p>
    <w:p w:rsidR="00036BBF" w:rsidRPr="00036BBF" w:rsidRDefault="00036BBF" w:rsidP="008938A5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（２）特殊肥料、土壌改良資材の種類は袋にある「表示様式」を確認して記入すること。なお、　表示様式が無添付の場合は、その他の資材に分類し、製造、販売元を必ず記入すること。</w:t>
      </w: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（３）肥料の分類は別記のとおりなので注意して記入すること。</w:t>
      </w: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※複合肥料の種類別記載に誤りが多いので、特に注意願います。</w:t>
      </w:r>
    </w:p>
    <w:p w:rsidR="00036BBF" w:rsidRPr="00036BBF" w:rsidRDefault="00036BBF" w:rsidP="00862777">
      <w:pPr>
        <w:suppressAutoHyphens/>
        <w:wordWrap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同じ高度複合肥料（窒素、燐酸、加里の保証成分量の合計が３０％以上）でも高度化成肥料と高度配合（ＢＢ含む）肥料では、種類が違います</w:t>
      </w:r>
      <w:r w:rsidR="0086277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。また、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肥料袋に記載されている生産業者保証票も様式が異なりますので、在庫品等の保証票で確認</w:t>
      </w:r>
      <w:r w:rsidR="0086277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をお願いします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。</w:t>
      </w:r>
    </w:p>
    <w:p w:rsidR="00036BBF" w:rsidRDefault="00862777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CACFFE" wp14:editId="429A1120">
            <wp:simplePos x="0" y="0"/>
            <wp:positionH relativeFrom="column">
              <wp:posOffset>-20955</wp:posOffset>
            </wp:positionH>
            <wp:positionV relativeFrom="paragraph">
              <wp:posOffset>152400</wp:posOffset>
            </wp:positionV>
            <wp:extent cx="6407150" cy="36576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3" t="32024" r="40816" b="16878"/>
                    <a:stretch/>
                  </pic:blipFill>
                  <pic:spPr bwMode="auto">
                    <a:xfrm>
                      <a:off x="0" y="0"/>
                      <a:ext cx="640715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862777" w:rsidRDefault="00862777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862777" w:rsidRDefault="00862777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862777" w:rsidRDefault="00862777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862777" w:rsidRDefault="00862777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862777" w:rsidRDefault="00862777" w:rsidP="00036BBF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19"/>
          <w:szCs w:val="19"/>
        </w:rPr>
      </w:pP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9"/>
          <w:szCs w:val="19"/>
        </w:rPr>
        <w:t>３　数量の記入について</w:t>
      </w: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036BB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小数点以下を四捨五入し、整数（ｔ）で記入すること。</w:t>
      </w: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036BB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また、人工培土は枚数（千枚単位）及びｔ数を併記すること。</w:t>
      </w: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9"/>
          <w:szCs w:val="19"/>
        </w:rPr>
        <w:t>４　問い合わせ先</w:t>
      </w:r>
    </w:p>
    <w:p w:rsidR="00036BBF" w:rsidRPr="00036BBF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19"/>
          <w:szCs w:val="19"/>
        </w:rPr>
      </w:pPr>
      <w:r w:rsidRPr="00036BB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="00C4500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岩手県農林水産部農業普及技術課技術環境担当　白木</w:t>
      </w:r>
      <w:bookmarkStart w:id="0" w:name="_GoBack"/>
      <w:bookmarkEnd w:id="0"/>
    </w:p>
    <w:p w:rsidR="00036BBF" w:rsidRPr="00862777" w:rsidRDefault="00036BBF" w:rsidP="00036BB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</w:t>
      </w:r>
      <w:r w:rsidRPr="00036BB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TEL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036BB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019-629-565</w:t>
      </w:r>
      <w:r w:rsidR="00243D3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6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 w:rsidRPr="00036BB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FAX  019-629-5664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036BB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E-mail</w:t>
      </w:r>
      <w:r w:rsidRPr="00036BBF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5F0A17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AF0005</w:t>
      </w:r>
      <w:r w:rsidR="00862777" w:rsidRPr="00036BB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036BBF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@pref.iwate.jp</w:t>
      </w:r>
    </w:p>
    <w:p w:rsidR="00C74D6C" w:rsidRPr="00036BBF" w:rsidRDefault="00C74D6C"/>
    <w:sectPr w:rsidR="00C74D6C" w:rsidRPr="00036BBF" w:rsidSect="00036BBF">
      <w:pgSz w:w="11906" w:h="16838"/>
      <w:pgMar w:top="914" w:right="1134" w:bottom="914" w:left="1248" w:header="720" w:footer="720" w:gutter="0"/>
      <w:pgNumType w:start="1"/>
      <w:cols w:space="720"/>
      <w:noEndnote/>
      <w:docGrid w:type="linesAndChars" w:linePitch="27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8E" w:rsidRDefault="002E2B8E" w:rsidP="002E2BEC">
      <w:r>
        <w:separator/>
      </w:r>
    </w:p>
  </w:endnote>
  <w:endnote w:type="continuationSeparator" w:id="0">
    <w:p w:rsidR="002E2B8E" w:rsidRDefault="002E2B8E" w:rsidP="002E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8E" w:rsidRDefault="002E2B8E" w:rsidP="002E2BEC">
      <w:r>
        <w:separator/>
      </w:r>
    </w:p>
  </w:footnote>
  <w:footnote w:type="continuationSeparator" w:id="0">
    <w:p w:rsidR="002E2B8E" w:rsidRDefault="002E2B8E" w:rsidP="002E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BF"/>
    <w:rsid w:val="00036BBF"/>
    <w:rsid w:val="00243D32"/>
    <w:rsid w:val="002E2B8E"/>
    <w:rsid w:val="002E2BEC"/>
    <w:rsid w:val="0049111E"/>
    <w:rsid w:val="005F0A17"/>
    <w:rsid w:val="006678F6"/>
    <w:rsid w:val="007A116B"/>
    <w:rsid w:val="00862777"/>
    <w:rsid w:val="008938A5"/>
    <w:rsid w:val="00C45004"/>
    <w:rsid w:val="00C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F0580"/>
  <w15:docId w15:val="{77A5FB92-44C3-4C2B-8AEA-4E3DC1C9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B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BEC"/>
  </w:style>
  <w:style w:type="paragraph" w:styleId="a7">
    <w:name w:val="footer"/>
    <w:basedOn w:val="a"/>
    <w:link w:val="a8"/>
    <w:uiPriority w:val="99"/>
    <w:unhideWhenUsed/>
    <w:rsid w:val="002E2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SS17080698</dc:creator>
  <cp:lastModifiedBy>白木正俊</cp:lastModifiedBy>
  <cp:revision>7</cp:revision>
  <dcterms:created xsi:type="dcterms:W3CDTF">2018-12-28T01:24:00Z</dcterms:created>
  <dcterms:modified xsi:type="dcterms:W3CDTF">2023-01-05T10:32:00Z</dcterms:modified>
</cp:coreProperties>
</file>