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15" w:rsidRPr="004D7FF5" w:rsidRDefault="00343C67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 w:rsidRPr="004D7FF5">
        <w:rPr>
          <w:rFonts w:asciiTheme="majorEastAsia" w:eastAsiaTheme="majorEastAsia" w:hAnsiTheme="majorEastAsia" w:hint="eastAsia"/>
          <w:sz w:val="22"/>
        </w:rPr>
        <w:t>【参考】</w:t>
      </w:r>
    </w:p>
    <w:p w:rsidR="00343C67" w:rsidRPr="00BC2ACC" w:rsidRDefault="002204BB" w:rsidP="00527B29">
      <w:pPr>
        <w:spacing w:beforeLines="30" w:before="108" w:afterLines="30" w:after="108"/>
        <w:ind w:left="822" w:hangingChars="257" w:hanging="82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C2ACC">
        <w:rPr>
          <w:rFonts w:asciiTheme="majorEastAsia" w:eastAsiaTheme="majorEastAsia" w:hAnsiTheme="majorEastAsia" w:hint="eastAsia"/>
          <w:sz w:val="32"/>
          <w:szCs w:val="32"/>
        </w:rPr>
        <w:t>講話内容の一例</w:t>
      </w:r>
      <w:r w:rsidR="005C6E98" w:rsidRPr="00BC2ACC">
        <w:rPr>
          <w:rFonts w:asciiTheme="majorEastAsia" w:eastAsiaTheme="majorEastAsia" w:hAnsiTheme="majorEastAsia" w:hint="eastAsia"/>
          <w:sz w:val="32"/>
          <w:szCs w:val="32"/>
        </w:rPr>
        <w:t>紹介</w:t>
      </w:r>
    </w:p>
    <w:p w:rsidR="00527B29" w:rsidRPr="00686C6C" w:rsidRDefault="00EA4C19" w:rsidP="00527B29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が18歳に引き下げとなる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Pr="00686C6C" w:rsidRDefault="00527B29" w:rsidP="00732F2F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D97927" w:rsidRPr="00EA4C19" w:rsidRDefault="00EA4C19" w:rsidP="00527B29">
      <w:pPr>
        <w:spacing w:beforeLines="50" w:before="180" w:afterLines="30" w:after="108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540" w:type="dxa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071062">
        <w:trPr>
          <w:trHeight w:val="396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</w:t>
            </w:r>
          </w:p>
        </w:tc>
      </w:tr>
      <w:tr w:rsidR="00686C6C" w:rsidRPr="00686C6C" w:rsidTr="00071062">
        <w:trPr>
          <w:trHeight w:val="345"/>
        </w:trPr>
        <w:tc>
          <w:tcPr>
            <w:tcW w:w="2520" w:type="dxa"/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20" w:type="dxa"/>
          </w:tcPr>
          <w:p w:rsidR="00907909" w:rsidRPr="00686C6C" w:rsidRDefault="00C537C7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進学にかかる費用と１人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:rsidTr="00071062">
        <w:trPr>
          <w:trHeight w:val="536"/>
        </w:trPr>
        <w:tc>
          <w:tcPr>
            <w:tcW w:w="2520" w:type="dxa"/>
            <w:tcBorders>
              <w:bottom w:val="single" w:sz="4" w:space="0" w:color="auto"/>
            </w:tcBorders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70182B" w:rsidRPr="00686C6C" w:rsidRDefault="00416E7C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Pr="00686C6C" w:rsidRDefault="00480EAE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</w:tc>
      </w:tr>
      <w:tr w:rsidR="00686C6C" w:rsidRPr="00686C6C" w:rsidTr="00E5192F">
        <w:trPr>
          <w:trHeight w:val="561"/>
        </w:trPr>
        <w:tc>
          <w:tcPr>
            <w:tcW w:w="2520" w:type="dxa"/>
          </w:tcPr>
          <w:p w:rsidR="00EC23EB" w:rsidRPr="00686C6C" w:rsidRDefault="00BC2ACC" w:rsidP="004D7FF5">
            <w:pPr>
              <w:spacing w:beforeLines="20" w:before="72" w:afterLines="20" w:after="72" w:line="360" w:lineRule="exact"/>
              <w:ind w:left="174" w:hangingChars="87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EC23E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金融の働き</w:t>
            </w:r>
            <w:r w:rsidR="00466D27"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</w:p>
        </w:tc>
        <w:tc>
          <w:tcPr>
            <w:tcW w:w="7020" w:type="dxa"/>
          </w:tcPr>
          <w:p w:rsidR="00EC23EB" w:rsidRDefault="00EC23EB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●直接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間接金融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と金利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●中央銀行の役割</w:t>
            </w:r>
          </w:p>
          <w:p w:rsidR="00466D27" w:rsidRPr="00686C6C" w:rsidRDefault="00466D27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:rsidTr="00071062">
        <w:trPr>
          <w:trHeight w:val="276"/>
        </w:trPr>
        <w:tc>
          <w:tcPr>
            <w:tcW w:w="2520" w:type="dxa"/>
          </w:tcPr>
          <w:p w:rsidR="00F207F7" w:rsidRPr="00686C6C" w:rsidRDefault="00BC2ACC" w:rsidP="004D7FF5">
            <w:pPr>
              <w:spacing w:beforeLines="20" w:before="72" w:afterLines="20" w:after="72" w:line="360" w:lineRule="exact"/>
              <w:ind w:left="128" w:hangingChars="64" w:hanging="12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20" w:type="dxa"/>
          </w:tcPr>
          <w:p w:rsidR="00907909" w:rsidRPr="00686C6C" w:rsidRDefault="00F207F7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5D22F9" w:rsidRPr="00EA4C19" w:rsidRDefault="005D22F9" w:rsidP="0046338C">
      <w:pPr>
        <w:spacing w:beforeLines="50" w:before="180" w:afterLines="30" w:after="108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736210">
        <w:trPr>
          <w:trHeight w:val="472"/>
        </w:trPr>
        <w:tc>
          <w:tcPr>
            <w:tcW w:w="2520" w:type="dxa"/>
            <w:vAlign w:val="center"/>
          </w:tcPr>
          <w:p w:rsidR="005D22F9" w:rsidRPr="00686C6C" w:rsidRDefault="005D22F9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vAlign w:val="center"/>
          </w:tcPr>
          <w:p w:rsidR="005D22F9" w:rsidRPr="00686C6C" w:rsidRDefault="004910E6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講話内容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ind w:left="348" w:hangingChars="174" w:hanging="34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20" w:type="dxa"/>
          </w:tcPr>
          <w:p w:rsidR="004910E6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063407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20" w:type="dxa"/>
          </w:tcPr>
          <w:p w:rsidR="00071062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D428C8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6F32F1" w:rsidRPr="006F32F1" w:rsidRDefault="006F32F1" w:rsidP="00466D27">
      <w:pPr>
        <w:spacing w:beforeLines="50" w:before="180"/>
        <w:jc w:val="right"/>
        <w:rPr>
          <w:rFonts w:asciiTheme="majorEastAsia" w:eastAsiaTheme="majorEastAsia" w:hAnsiTheme="majorEastAsia"/>
        </w:rPr>
      </w:pPr>
    </w:p>
    <w:sectPr w:rsidR="006F32F1" w:rsidRPr="006F32F1" w:rsidSect="00416EDA">
      <w:pgSz w:w="11906" w:h="16838"/>
      <w:pgMar w:top="540" w:right="926" w:bottom="72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1206B1"/>
    <w:rsid w:val="00185D7C"/>
    <w:rsid w:val="001931D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E5B33"/>
    <w:rsid w:val="003E5EA7"/>
    <w:rsid w:val="00416E7C"/>
    <w:rsid w:val="00416EDA"/>
    <w:rsid w:val="00437875"/>
    <w:rsid w:val="00451FEA"/>
    <w:rsid w:val="0046338C"/>
    <w:rsid w:val="00466D27"/>
    <w:rsid w:val="004730FD"/>
    <w:rsid w:val="00480EAE"/>
    <w:rsid w:val="004910E6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84C30"/>
    <w:rsid w:val="007C6B2F"/>
    <w:rsid w:val="00846C82"/>
    <w:rsid w:val="00895E4A"/>
    <w:rsid w:val="008B1D62"/>
    <w:rsid w:val="008C2C4E"/>
    <w:rsid w:val="008E38D6"/>
    <w:rsid w:val="0090135C"/>
    <w:rsid w:val="00907909"/>
    <w:rsid w:val="0096499D"/>
    <w:rsid w:val="0097725C"/>
    <w:rsid w:val="00A674B2"/>
    <w:rsid w:val="00AB613D"/>
    <w:rsid w:val="00AC4946"/>
    <w:rsid w:val="00AC779F"/>
    <w:rsid w:val="00B56248"/>
    <w:rsid w:val="00B76B6B"/>
    <w:rsid w:val="00B95C7A"/>
    <w:rsid w:val="00BC2ACC"/>
    <w:rsid w:val="00C12D3A"/>
    <w:rsid w:val="00C21BAA"/>
    <w:rsid w:val="00C537C7"/>
    <w:rsid w:val="00CB5351"/>
    <w:rsid w:val="00CC6955"/>
    <w:rsid w:val="00CF3910"/>
    <w:rsid w:val="00D428C8"/>
    <w:rsid w:val="00D97927"/>
    <w:rsid w:val="00DB15D5"/>
    <w:rsid w:val="00E40D78"/>
    <w:rsid w:val="00E474FE"/>
    <w:rsid w:val="00E5192F"/>
    <w:rsid w:val="00EA4C19"/>
    <w:rsid w:val="00EB6E33"/>
    <w:rsid w:val="00EC23EB"/>
    <w:rsid w:val="00F207F7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C2BF307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2A33-CDE1-41F7-ADE4-E0460EAC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</dc:creator>
  <cp:lastModifiedBy>SS17020361</cp:lastModifiedBy>
  <cp:revision>3</cp:revision>
  <cp:lastPrinted>2020-02-17T02:32:00Z</cp:lastPrinted>
  <dcterms:created xsi:type="dcterms:W3CDTF">2020-02-17T02:54:00Z</dcterms:created>
  <dcterms:modified xsi:type="dcterms:W3CDTF">2021-02-10T04:06:00Z</dcterms:modified>
</cp:coreProperties>
</file>