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59E9" w14:textId="77777777" w:rsidR="00B71D53" w:rsidRPr="00790C02" w:rsidRDefault="00B71D53" w:rsidP="00B71D53">
      <w:pPr>
        <w:autoSpaceDE w:val="0"/>
        <w:autoSpaceDN w:val="0"/>
        <w:adjustRightInd w:val="0"/>
        <w:jc w:val="center"/>
        <w:rPr>
          <w:rFonts w:ascii="ＭＳ ゴシック" w:eastAsia="ＭＳ ゴシック" w:hAnsi="ＭＳ ゴシック" w:cs="Times New Roman"/>
          <w:color w:val="000000" w:themeColor="text1"/>
          <w:sz w:val="24"/>
          <w:szCs w:val="21"/>
        </w:rPr>
      </w:pPr>
      <w:r w:rsidRPr="00790C02">
        <w:rPr>
          <w:rFonts w:ascii="ＭＳ ゴシック" w:eastAsia="ＭＳ ゴシック" w:hAnsi="ＭＳ ゴシック" w:cs="Times New Roman" w:hint="eastAsia"/>
          <w:color w:val="000000" w:themeColor="text1"/>
          <w:sz w:val="24"/>
          <w:szCs w:val="21"/>
        </w:rPr>
        <w:t>令和７年度ＩＬＣ実現に向けた国民的な機運醸成業務仕様書</w:t>
      </w:r>
    </w:p>
    <w:p w14:paraId="52282000" w14:textId="77777777" w:rsidR="00B71D53" w:rsidRPr="00790C02" w:rsidRDefault="00B71D53" w:rsidP="00B71D53">
      <w:pPr>
        <w:ind w:leftChars="6" w:left="13" w:firstLineChars="100" w:firstLine="210"/>
        <w:rPr>
          <w:rFonts w:ascii="ＭＳ 明朝" w:eastAsia="ＭＳ 明朝" w:hAnsi="ＭＳ 明朝" w:cs="TTE2718F28t00CID-WinCharSetFFFF"/>
          <w:color w:val="000000" w:themeColor="text1"/>
          <w:kern w:val="0"/>
          <w:szCs w:val="21"/>
        </w:rPr>
      </w:pPr>
    </w:p>
    <w:p w14:paraId="68609077" w14:textId="77777777" w:rsidR="00B71D53" w:rsidRPr="00790C02" w:rsidRDefault="00B71D53" w:rsidP="00B71D53">
      <w:pPr>
        <w:ind w:leftChars="6" w:left="13" w:firstLineChars="100" w:firstLine="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この「業務仕様書」は、岩手県（以下「県」という。）が実施する「令和７年度ＩＬＣ実現に向けた国民的な機運醸成業務」（以下「本業務」という。）に係る受託候補者の選定に関して、県が、委託する事業者（以下「受託者」という。）に要求する本業務の概要や仕様を明らかにし、企画コンペに参加しようとする者（以下「コンペ参加者」という。）の提案に具体的な指針を示すものであること。</w:t>
      </w:r>
    </w:p>
    <w:p w14:paraId="5B9317B8" w14:textId="77777777" w:rsidR="00B71D53" w:rsidRPr="00790C02" w:rsidRDefault="00B71D53" w:rsidP="00B71D53">
      <w:pPr>
        <w:ind w:leftChars="6" w:left="13" w:firstLineChars="100" w:firstLine="210"/>
        <w:rPr>
          <w:rFonts w:ascii="ＭＳ 明朝" w:eastAsia="ＭＳ 明朝" w:hAnsi="ＭＳ 明朝" w:cs="Times New Roman"/>
          <w:color w:val="000000" w:themeColor="text1"/>
          <w:szCs w:val="21"/>
        </w:rPr>
      </w:pPr>
    </w:p>
    <w:p w14:paraId="3501DCAA" w14:textId="77777777" w:rsidR="00B71D53" w:rsidRPr="00790C02" w:rsidRDefault="00B71D53" w:rsidP="00B71D53">
      <w:pPr>
        <w:rPr>
          <w:rFonts w:ascii="ＭＳ ゴシック" w:eastAsia="ＭＳ ゴシック" w:hAnsi="ＭＳ ゴシック" w:cs="Times New Roman"/>
          <w:color w:val="000000" w:themeColor="text1"/>
          <w:szCs w:val="21"/>
        </w:rPr>
      </w:pPr>
      <w:r w:rsidRPr="00790C02">
        <w:rPr>
          <w:rFonts w:ascii="ＭＳ ゴシック" w:eastAsia="ＭＳ ゴシック" w:hAnsi="ＭＳ ゴシック" w:cs="Times New Roman" w:hint="eastAsia"/>
          <w:color w:val="000000" w:themeColor="text1"/>
          <w:szCs w:val="21"/>
        </w:rPr>
        <w:t>１　趣旨</w:t>
      </w:r>
    </w:p>
    <w:p w14:paraId="237B3209" w14:textId="37A22238" w:rsidR="00B71D53" w:rsidRPr="00790C02" w:rsidRDefault="00B71D53" w:rsidP="00B71D53">
      <w:pPr>
        <w:ind w:leftChars="117" w:left="286" w:hangingChars="19" w:hanging="4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本業務により、全国から来場者が集中する大阪・関西万博</w:t>
      </w:r>
      <w:r w:rsidR="00C52EA1" w:rsidRPr="00790C02">
        <w:rPr>
          <w:rFonts w:ascii="ＭＳ 明朝" w:eastAsia="ＭＳ 明朝" w:hAnsi="ＭＳ 明朝" w:cs="Times New Roman" w:hint="eastAsia"/>
          <w:color w:val="000000" w:themeColor="text1"/>
          <w:szCs w:val="21"/>
        </w:rPr>
        <w:t>(以下「万博」という。)</w:t>
      </w:r>
      <w:r w:rsidRPr="00790C02">
        <w:rPr>
          <w:rFonts w:ascii="ＭＳ 明朝" w:eastAsia="ＭＳ 明朝" w:hAnsi="ＭＳ 明朝" w:cs="Times New Roman" w:hint="eastAsia"/>
          <w:color w:val="000000" w:themeColor="text1"/>
          <w:szCs w:val="21"/>
        </w:rPr>
        <w:t>を契機に、ＩＬＣ（国際リニアコライダー）日本誘致に向け、ＩＬＣへの理解及び国民的な機運を醸成することを目的として、広報を展開する。</w:t>
      </w:r>
    </w:p>
    <w:p w14:paraId="483B59A9" w14:textId="77777777" w:rsidR="00B71D53" w:rsidRPr="00790C02" w:rsidRDefault="00B71D53" w:rsidP="00B71D53">
      <w:pPr>
        <w:ind w:firstLineChars="100" w:firstLine="210"/>
        <w:rPr>
          <w:rFonts w:ascii="ＭＳ 明朝" w:eastAsia="ＭＳ 明朝" w:hAnsi="ＭＳ 明朝" w:cs="Times New Roman"/>
          <w:color w:val="000000" w:themeColor="text1"/>
          <w:szCs w:val="21"/>
        </w:rPr>
      </w:pPr>
    </w:p>
    <w:p w14:paraId="27EB92CB" w14:textId="77777777" w:rsidR="00B71D53" w:rsidRPr="00790C02" w:rsidRDefault="00B71D53" w:rsidP="00B71D53">
      <w:pPr>
        <w:rPr>
          <w:rFonts w:ascii="ＭＳ ゴシック" w:eastAsia="ＭＳ ゴシック" w:hAnsi="ＭＳ ゴシック" w:cs="Times New Roman"/>
          <w:color w:val="000000" w:themeColor="text1"/>
          <w:szCs w:val="21"/>
        </w:rPr>
      </w:pPr>
      <w:r w:rsidRPr="00790C02">
        <w:rPr>
          <w:rFonts w:ascii="ＭＳ ゴシック" w:eastAsia="ＭＳ ゴシック" w:hAnsi="ＭＳ ゴシック" w:cs="Times New Roman" w:hint="eastAsia"/>
          <w:color w:val="000000" w:themeColor="text1"/>
          <w:szCs w:val="21"/>
        </w:rPr>
        <w:t>２　業務内容</w:t>
      </w:r>
    </w:p>
    <w:p w14:paraId="136B4CE4" w14:textId="3DA689A9" w:rsidR="00B71D53" w:rsidRPr="00790C02" w:rsidRDefault="00B71D53" w:rsidP="00B71D53">
      <w:pPr>
        <w:rPr>
          <w:rFonts w:ascii="ＭＳ ゴシック" w:eastAsia="ＭＳ ゴシック" w:hAnsi="ＭＳ ゴシック" w:cs="Times New Roman"/>
          <w:color w:val="000000" w:themeColor="text1"/>
          <w:szCs w:val="21"/>
        </w:rPr>
      </w:pPr>
      <w:r w:rsidRPr="00790C02">
        <w:rPr>
          <w:rFonts w:ascii="ＭＳ 明朝" w:eastAsia="ＭＳ 明朝" w:hAnsi="ＭＳ 明朝" w:cs="Times New Roman"/>
          <w:color w:val="000000" w:themeColor="text1"/>
          <w:szCs w:val="21"/>
        </w:rPr>
        <w:t xml:space="preserve"> </w:t>
      </w:r>
      <w:r w:rsidRPr="00790C02">
        <w:rPr>
          <w:rFonts w:ascii="ＭＳ 明朝" w:eastAsia="ＭＳ 明朝" w:hAnsi="ＭＳ 明朝" w:cs="Times New Roman" w:hint="eastAsia"/>
          <w:color w:val="000000" w:themeColor="text1"/>
          <w:szCs w:val="21"/>
        </w:rPr>
        <w:t xml:space="preserve"> (1)　万博期間中におけるＪＲ西日本での電車内広告の実施</w:t>
      </w:r>
    </w:p>
    <w:p w14:paraId="167183D3" w14:textId="7A1A0BC7" w:rsidR="00B71D53" w:rsidRPr="00790C02" w:rsidRDefault="00B71D53" w:rsidP="00B71D53">
      <w:pPr>
        <w:ind w:leftChars="102" w:left="634" w:hangingChars="200" w:hanging="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ＩＬＣの理解を促すために、効果的な電車内広告物を作成し、当該広告物を万博期間中、ＪＲ西日本の近畿エリアを走行する電車内での広告を行うこと。</w:t>
      </w:r>
    </w:p>
    <w:p w14:paraId="1BDAE396"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ア　内容</w:t>
      </w:r>
    </w:p>
    <w:p w14:paraId="3759B23B"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・多くの人がＩＬＣに興味を持ち、理解してもらえるような広告物を作成すること。</w:t>
      </w:r>
    </w:p>
    <w:p w14:paraId="071758E1" w14:textId="11B19FEE" w:rsidR="00B71D53" w:rsidRPr="00790C02" w:rsidRDefault="00B71D53" w:rsidP="00B71D53">
      <w:pPr>
        <w:ind w:leftChars="100" w:left="84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・ポスターやサイネージ等の広告の媒体</w:t>
      </w:r>
      <w:r w:rsidR="0083105B" w:rsidRPr="00790C02">
        <w:rPr>
          <w:rFonts w:ascii="ＭＳ 明朝" w:eastAsia="ＭＳ 明朝" w:hAnsi="ＭＳ 明朝" w:cs="Times New Roman" w:hint="eastAsia"/>
          <w:color w:val="000000" w:themeColor="text1"/>
          <w:szCs w:val="21"/>
        </w:rPr>
        <w:t>を</w:t>
      </w:r>
      <w:r w:rsidRPr="00790C02">
        <w:rPr>
          <w:rFonts w:ascii="ＭＳ 明朝" w:eastAsia="ＭＳ 明朝" w:hAnsi="ＭＳ 明朝" w:cs="Times New Roman" w:hint="eastAsia"/>
          <w:color w:val="000000" w:themeColor="text1"/>
          <w:szCs w:val="21"/>
        </w:rPr>
        <w:t>問わ</w:t>
      </w:r>
      <w:r w:rsidR="0083105B" w:rsidRPr="00790C02">
        <w:rPr>
          <w:rFonts w:ascii="ＭＳ 明朝" w:eastAsia="ＭＳ 明朝" w:hAnsi="ＭＳ 明朝" w:cs="Times New Roman" w:hint="eastAsia"/>
          <w:color w:val="000000" w:themeColor="text1"/>
          <w:szCs w:val="21"/>
        </w:rPr>
        <w:t>ず</w:t>
      </w:r>
      <w:r w:rsidRPr="00790C02">
        <w:rPr>
          <w:rFonts w:ascii="ＭＳ 明朝" w:eastAsia="ＭＳ 明朝" w:hAnsi="ＭＳ 明朝" w:cs="Times New Roman" w:hint="eastAsia"/>
          <w:color w:val="000000" w:themeColor="text1"/>
          <w:szCs w:val="21"/>
        </w:rPr>
        <w:t>、国民的な機運醸成を目的とした本事業の趣旨に相応しい効果的な広告方法を提案すること。</w:t>
      </w:r>
    </w:p>
    <w:p w14:paraId="5218AD7A"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イ　実施場所</w:t>
      </w:r>
    </w:p>
    <w:p w14:paraId="17C4110B" w14:textId="77777777" w:rsidR="00B71D53" w:rsidRPr="00790C02" w:rsidRDefault="00B71D53" w:rsidP="00B71D53">
      <w:pPr>
        <w:ind w:leftChars="35" w:left="283"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ＪＲ西日本の近畿エリアを走行する電車内での実施とすること。</w:t>
      </w:r>
    </w:p>
    <w:p w14:paraId="57CE7FCD"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ウ　実施期間及び時期</w:t>
      </w:r>
    </w:p>
    <w:p w14:paraId="2809CD24" w14:textId="77777777" w:rsidR="00B71D53" w:rsidRPr="00790C02" w:rsidRDefault="00B71D53" w:rsidP="00B71D53">
      <w:pPr>
        <w:ind w:leftChars="35" w:left="703"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掲載期間は、予算の範囲内で最も効果的な期間（1週間以上とすること）及び時期を設定すること。</w:t>
      </w:r>
    </w:p>
    <w:p w14:paraId="1B0FA69C"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w:t>
      </w:r>
    </w:p>
    <w:p w14:paraId="427781EB" w14:textId="685C1904"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w:t>
      </w:r>
      <w:r w:rsidRPr="00790C02">
        <w:rPr>
          <w:rFonts w:ascii="ＭＳ 明朝" w:eastAsia="ＭＳ 明朝" w:hAnsi="ＭＳ 明朝" w:cs="Times New Roman"/>
          <w:color w:val="000000" w:themeColor="text1"/>
          <w:szCs w:val="21"/>
        </w:rPr>
        <w:t xml:space="preserve"> </w:t>
      </w:r>
      <w:r w:rsidRPr="00790C02">
        <w:rPr>
          <w:rFonts w:ascii="ＭＳ 明朝" w:eastAsia="ＭＳ 明朝" w:hAnsi="ＭＳ 明朝" w:cs="Times New Roman" w:hint="eastAsia"/>
          <w:color w:val="000000" w:themeColor="text1"/>
          <w:szCs w:val="21"/>
        </w:rPr>
        <w:t>(2)　万博期間中におけるＪＲ東海情報誌Wedgeによる広報</w:t>
      </w:r>
    </w:p>
    <w:p w14:paraId="7DBFE6A4" w14:textId="3003EA43" w:rsidR="00B71D53" w:rsidRPr="00790C02" w:rsidRDefault="00B71D53" w:rsidP="00B71D53">
      <w:pPr>
        <w:ind w:left="420" w:hangingChars="200" w:hanging="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ＪＲ東海情報誌WedgeにＩＬＣに関する記事を制作・掲載し、万博期間中、ＪＲ東海の新幹線の車内に設置し、乗客の閲覧に供すること。</w:t>
      </w:r>
    </w:p>
    <w:p w14:paraId="46000C5A"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ア　内容</w:t>
      </w:r>
    </w:p>
    <w:p w14:paraId="0AE6AC65" w14:textId="324B37FF" w:rsidR="00B71D53" w:rsidRPr="00790C02" w:rsidRDefault="00A51CBF" w:rsidP="00B71D53">
      <w:pPr>
        <w:ind w:leftChars="66" w:left="708" w:hangingChars="271" w:hanging="569"/>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bookmarkStart w:id="0" w:name="_GoBack"/>
      <w:bookmarkEnd w:id="0"/>
      <w:r w:rsidR="00F43BF6" w:rsidRPr="00790C02">
        <w:rPr>
          <w:rFonts w:ascii="ＭＳ 明朝" w:eastAsia="ＭＳ 明朝" w:hAnsi="ＭＳ 明朝" w:cs="Times New Roman" w:hint="eastAsia"/>
          <w:color w:val="000000" w:themeColor="text1"/>
          <w:szCs w:val="21"/>
        </w:rPr>
        <w:t>同情報誌</w:t>
      </w:r>
      <w:r w:rsidR="00B71D53" w:rsidRPr="00790C02">
        <w:rPr>
          <w:rFonts w:ascii="ＭＳ 明朝" w:eastAsia="ＭＳ 明朝" w:hAnsi="ＭＳ 明朝" w:cs="Times New Roman" w:hint="eastAsia"/>
          <w:color w:val="000000" w:themeColor="text1"/>
          <w:szCs w:val="21"/>
        </w:rPr>
        <w:t>に掲載する内容は、ＩＬＣに興味関心を持ち、理解してもらえるようなデザイン及び記事（１ページ以上）とすること。</w:t>
      </w:r>
    </w:p>
    <w:p w14:paraId="269C334A"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イ　実施場所</w:t>
      </w:r>
    </w:p>
    <w:p w14:paraId="51686B82" w14:textId="77777777" w:rsidR="00B71D53" w:rsidRPr="00790C02" w:rsidRDefault="00B71D53" w:rsidP="00B71D53">
      <w:pPr>
        <w:ind w:leftChars="35" w:left="283"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ＪＲ東海の新幹線内での実施とすること。</w:t>
      </w:r>
    </w:p>
    <w:p w14:paraId="2DF13AF6"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ウ　実施時期</w:t>
      </w:r>
    </w:p>
    <w:p w14:paraId="1A6FB5F4"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現実的に実施が可能で、最も効果的な時期とすること。</w:t>
      </w:r>
    </w:p>
    <w:p w14:paraId="12005A97"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lastRenderedPageBreak/>
        <w:t xml:space="preserve">　(3)　ＳＮＳ広告によるＩＬＣに関する広報</w:t>
      </w:r>
    </w:p>
    <w:p w14:paraId="32A00D87"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ア　内容　</w:t>
      </w:r>
    </w:p>
    <w:p w14:paraId="4133B023"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・ＩＬＣの興味関心や理解促進に効果的と考えられる広告方法及び発信内容を提案する</w:t>
      </w:r>
    </w:p>
    <w:p w14:paraId="76F8FC1D"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こと。</w:t>
      </w:r>
    </w:p>
    <w:p w14:paraId="48ECD6BA" w14:textId="77777777" w:rsidR="00B71D53" w:rsidRPr="00790C02" w:rsidRDefault="00B71D53" w:rsidP="00B71D53">
      <w:pPr>
        <w:autoSpaceDE w:val="0"/>
        <w:autoSpaceDN w:val="0"/>
        <w:ind w:left="840" w:hangingChars="400" w:hanging="84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・当局所持のアカウント（現在時点ではＸ（@</w:t>
      </w:r>
      <w:proofErr w:type="spellStart"/>
      <w:r w:rsidRPr="00790C02">
        <w:rPr>
          <w:rFonts w:ascii="ＭＳ 明朝" w:eastAsia="ＭＳ 明朝" w:hAnsi="ＭＳ 明朝" w:cs="Times New Roman"/>
          <w:color w:val="000000" w:themeColor="text1"/>
          <w:szCs w:val="21"/>
        </w:rPr>
        <w:t>Iwate_ilc</w:t>
      </w:r>
      <w:proofErr w:type="spellEnd"/>
      <w:r w:rsidRPr="00790C02">
        <w:rPr>
          <w:rFonts w:ascii="ＭＳ 明朝" w:eastAsia="ＭＳ 明朝" w:hAnsi="ＭＳ 明朝" w:cs="Times New Roman" w:hint="eastAsia"/>
          <w:color w:val="000000" w:themeColor="text1"/>
          <w:szCs w:val="21"/>
        </w:rPr>
        <w:t>）及びFacebook（岩手＆ＩＬＣ））の活用も可能なものとする。</w:t>
      </w:r>
    </w:p>
    <w:p w14:paraId="40F67084" w14:textId="2634916E" w:rsidR="00B71D53" w:rsidRPr="00514BED" w:rsidRDefault="00B71D53" w:rsidP="00B71D53">
      <w:pPr>
        <w:autoSpaceDE w:val="0"/>
        <w:autoSpaceDN w:val="0"/>
        <w:ind w:left="840" w:hangingChars="400" w:hanging="84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w:t>
      </w:r>
      <w:r w:rsidRPr="00514BED">
        <w:rPr>
          <w:rFonts w:ascii="ＭＳ 明朝" w:eastAsia="ＭＳ 明朝" w:hAnsi="ＭＳ 明朝" w:cs="Times New Roman" w:hint="eastAsia"/>
          <w:color w:val="000000" w:themeColor="text1"/>
          <w:szCs w:val="21"/>
        </w:rPr>
        <w:t>・</w:t>
      </w:r>
      <w:r w:rsidR="009C6164" w:rsidRPr="00514BED">
        <w:rPr>
          <w:rFonts w:ascii="ＭＳ 明朝" w:eastAsia="ＭＳ 明朝" w:hAnsi="ＭＳ 明朝" w:cs="Times New Roman" w:hint="eastAsia"/>
          <w:color w:val="000000" w:themeColor="text1"/>
          <w:szCs w:val="21"/>
        </w:rPr>
        <w:t>岩手県</w:t>
      </w:r>
      <w:r w:rsidRPr="00514BED">
        <w:rPr>
          <w:rFonts w:ascii="ＭＳ 明朝" w:eastAsia="ＭＳ 明朝" w:hAnsi="ＭＳ 明朝" w:cs="Times New Roman" w:hint="eastAsia"/>
          <w:color w:val="000000" w:themeColor="text1"/>
          <w:szCs w:val="21"/>
        </w:rPr>
        <w:t>ＩＬＣ推進局で所持していない新たなＳＮＳのアカウントを立ち上げる提案も可とする。</w:t>
      </w:r>
    </w:p>
    <w:p w14:paraId="494754B7" w14:textId="77777777" w:rsidR="00B71D53" w:rsidRPr="00514BED" w:rsidRDefault="00B71D53" w:rsidP="00B71D53">
      <w:pPr>
        <w:autoSpaceDE w:val="0"/>
        <w:autoSpaceDN w:val="0"/>
        <w:rPr>
          <w:rFonts w:ascii="ＭＳ 明朝" w:eastAsia="ＭＳ 明朝" w:hAnsi="ＭＳ 明朝" w:cs="Times New Roman"/>
          <w:color w:val="000000" w:themeColor="text1"/>
          <w:szCs w:val="21"/>
        </w:rPr>
      </w:pPr>
      <w:r w:rsidRPr="00514BED">
        <w:rPr>
          <w:rFonts w:ascii="ＭＳ 明朝" w:eastAsia="ＭＳ 明朝" w:hAnsi="ＭＳ 明朝" w:cs="Times New Roman" w:hint="eastAsia"/>
          <w:color w:val="000000" w:themeColor="text1"/>
          <w:szCs w:val="21"/>
        </w:rPr>
        <w:t xml:space="preserve">　　イ　ターゲット</w:t>
      </w:r>
    </w:p>
    <w:p w14:paraId="5089C560" w14:textId="11F6B2E2" w:rsidR="00B71D53" w:rsidRPr="00790C02" w:rsidRDefault="00B71D53" w:rsidP="00B71D53">
      <w:pPr>
        <w:autoSpaceDE w:val="0"/>
        <w:autoSpaceDN w:val="0"/>
        <w:rPr>
          <w:rFonts w:ascii="ＭＳ 明朝" w:eastAsia="ＭＳ 明朝" w:hAnsi="ＭＳ 明朝" w:cs="Times New Roman"/>
          <w:color w:val="000000" w:themeColor="text1"/>
          <w:szCs w:val="21"/>
        </w:rPr>
      </w:pPr>
      <w:r w:rsidRPr="00514BED">
        <w:rPr>
          <w:rFonts w:ascii="ＭＳ 明朝" w:eastAsia="ＭＳ 明朝" w:hAnsi="ＭＳ 明朝" w:cs="Times New Roman" w:hint="eastAsia"/>
          <w:color w:val="000000" w:themeColor="text1"/>
          <w:szCs w:val="21"/>
        </w:rPr>
        <w:t xml:space="preserve">　　　　首都圏及び万博の参加者</w:t>
      </w:r>
    </w:p>
    <w:p w14:paraId="5065C5FF"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ウ　実施期間及び時期</w:t>
      </w:r>
    </w:p>
    <w:p w14:paraId="6B69A478"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(1)及び(2)の実施と併せて、最も効果的と考えられる時期及び期間とすること。</w:t>
      </w:r>
    </w:p>
    <w:p w14:paraId="4ED791D2"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w:t>
      </w:r>
    </w:p>
    <w:p w14:paraId="3F01F371" w14:textId="77777777" w:rsidR="00B71D53" w:rsidRPr="00790C02" w:rsidRDefault="00B71D53" w:rsidP="00B71D53">
      <w:pPr>
        <w:autoSpaceDE w:val="0"/>
        <w:autoSpaceDN w:val="0"/>
        <w:ind w:firstLineChars="100" w:firstLine="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(4)　追加提案</w:t>
      </w:r>
    </w:p>
    <w:p w14:paraId="48E4FAD6" w14:textId="77777777" w:rsidR="00B71D53" w:rsidRPr="00790C02" w:rsidRDefault="00B71D53" w:rsidP="00B71D53">
      <w:pPr>
        <w:ind w:leftChars="202" w:left="424" w:firstLineChars="114" w:firstLine="239"/>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２(1)～(3)で実施する内容のほか、効果的な機運醸成の取組を予算の範囲内で行える場合、追加提案できるものとする。</w:t>
      </w:r>
    </w:p>
    <w:p w14:paraId="1377B3D8" w14:textId="77777777" w:rsidR="00B71D53" w:rsidRPr="00790C02" w:rsidRDefault="00B71D53" w:rsidP="00B71D53">
      <w:pPr>
        <w:autoSpaceDE w:val="0"/>
        <w:autoSpaceDN w:val="0"/>
        <w:rPr>
          <w:rFonts w:ascii="ＭＳ 明朝" w:eastAsia="ＭＳ 明朝" w:hAnsi="ＭＳ 明朝" w:cs="Times New Roman"/>
          <w:color w:val="000000" w:themeColor="text1"/>
          <w:szCs w:val="21"/>
        </w:rPr>
      </w:pPr>
    </w:p>
    <w:p w14:paraId="723B1F9C"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(5)　事業実施効果の設定及び報告</w:t>
      </w:r>
    </w:p>
    <w:p w14:paraId="4B1DAAE9" w14:textId="77777777" w:rsidR="00507BD3" w:rsidRPr="00790C02" w:rsidRDefault="00B71D53" w:rsidP="00B71D53">
      <w:pPr>
        <w:ind w:leftChars="270" w:left="567" w:firstLineChars="100" w:firstLine="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設定が可能なものは事業効果の目標値を設定し、提案すること。</w:t>
      </w:r>
    </w:p>
    <w:p w14:paraId="6138A213" w14:textId="3A0967F8" w:rsidR="00B71D53" w:rsidRPr="00790C02" w:rsidRDefault="00B71D53" w:rsidP="00B71D53">
      <w:pPr>
        <w:ind w:leftChars="270" w:left="567" w:firstLineChars="100" w:firstLine="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なお、最終的な目標値は、</w:t>
      </w:r>
      <w:r w:rsidR="005018A6" w:rsidRPr="00790C02">
        <w:rPr>
          <w:rFonts w:ascii="ＭＳ 明朝" w:eastAsia="ＭＳ 明朝" w:hAnsi="ＭＳ 明朝" w:cs="Times New Roman" w:hint="eastAsia"/>
          <w:color w:val="000000" w:themeColor="text1"/>
          <w:szCs w:val="21"/>
        </w:rPr>
        <w:t>岩手県</w:t>
      </w:r>
      <w:r w:rsidRPr="00790C02">
        <w:rPr>
          <w:rFonts w:ascii="ＭＳ 明朝" w:eastAsia="ＭＳ 明朝" w:hAnsi="ＭＳ 明朝" w:cs="Times New Roman" w:hint="eastAsia"/>
          <w:color w:val="000000" w:themeColor="text1"/>
          <w:szCs w:val="21"/>
        </w:rPr>
        <w:t>ＩＬＣ推進局と協議のうえ設定すること。</w:t>
      </w:r>
    </w:p>
    <w:p w14:paraId="54AE9D3A" w14:textId="77777777" w:rsidR="00B71D53" w:rsidRPr="00790C02" w:rsidRDefault="00B71D53" w:rsidP="00B71D53">
      <w:pPr>
        <w:ind w:leftChars="270" w:left="567" w:firstLineChars="100" w:firstLine="210"/>
        <w:rPr>
          <w:rFonts w:ascii="Century" w:eastAsia="ＭＳ 明朝" w:hAnsi="Century" w:cs="Times New Roman"/>
          <w:color w:val="000000" w:themeColor="text1"/>
          <w:szCs w:val="21"/>
        </w:rPr>
      </w:pPr>
      <w:r w:rsidRPr="00790C02">
        <w:rPr>
          <w:rFonts w:ascii="Century" w:eastAsia="ＭＳ 明朝" w:hAnsi="Century" w:cs="Times New Roman" w:hint="eastAsia"/>
          <w:color w:val="000000" w:themeColor="text1"/>
          <w:szCs w:val="21"/>
        </w:rPr>
        <w:t>また、設定</w:t>
      </w:r>
      <w:r w:rsidRPr="00790C02">
        <w:rPr>
          <w:rFonts w:ascii="Century" w:eastAsia="ＭＳ 明朝" w:hAnsi="Century" w:cs="Times New Roman"/>
          <w:color w:val="000000" w:themeColor="text1"/>
          <w:szCs w:val="21"/>
        </w:rPr>
        <w:t>し</w:t>
      </w:r>
      <w:r w:rsidRPr="00790C02">
        <w:rPr>
          <w:rFonts w:ascii="ＭＳ 明朝" w:eastAsia="ＭＳ 明朝" w:hAnsi="ＭＳ 明朝" w:cs="Times New Roman"/>
          <w:color w:val="000000" w:themeColor="text1"/>
          <w:szCs w:val="21"/>
        </w:rPr>
        <w:t>た</w:t>
      </w:r>
      <w:r w:rsidRPr="00790C02">
        <w:rPr>
          <w:rFonts w:ascii="ＭＳ 明朝" w:eastAsia="ＭＳ 明朝" w:hAnsi="ＭＳ 明朝" w:cs="Times New Roman" w:hint="eastAsia"/>
          <w:color w:val="000000" w:themeColor="text1"/>
          <w:szCs w:val="21"/>
        </w:rPr>
        <w:t>数値</w:t>
      </w:r>
      <w:r w:rsidRPr="00790C02">
        <w:rPr>
          <w:rFonts w:ascii="Century" w:eastAsia="ＭＳ 明朝" w:hAnsi="Century" w:cs="Times New Roman"/>
          <w:color w:val="000000" w:themeColor="text1"/>
          <w:szCs w:val="21"/>
        </w:rPr>
        <w:t>について、定期的に測定</w:t>
      </w:r>
      <w:r w:rsidRPr="00790C02">
        <w:rPr>
          <w:rFonts w:ascii="Century" w:eastAsia="ＭＳ 明朝" w:hAnsi="Century" w:cs="Times New Roman" w:hint="eastAsia"/>
          <w:color w:val="000000" w:themeColor="text1"/>
          <w:szCs w:val="21"/>
        </w:rPr>
        <w:t>及び報告することとし、</w:t>
      </w:r>
      <w:r w:rsidRPr="00790C02">
        <w:rPr>
          <w:rFonts w:ascii="Century" w:eastAsia="ＭＳ 明朝" w:hAnsi="Century" w:cs="Times New Roman"/>
          <w:color w:val="000000" w:themeColor="text1"/>
          <w:szCs w:val="21"/>
        </w:rPr>
        <w:t>事業完了時に</w:t>
      </w:r>
      <w:r w:rsidRPr="00790C02">
        <w:rPr>
          <w:rFonts w:ascii="Century" w:eastAsia="ＭＳ 明朝" w:hAnsi="Century" w:cs="Times New Roman" w:hint="eastAsia"/>
          <w:color w:val="000000" w:themeColor="text1"/>
          <w:szCs w:val="21"/>
        </w:rPr>
        <w:t>は、</w:t>
      </w:r>
      <w:r w:rsidRPr="00790C02">
        <w:rPr>
          <w:rFonts w:ascii="Century" w:eastAsia="ＭＳ 明朝" w:hAnsi="Century" w:cs="Times New Roman"/>
          <w:color w:val="000000" w:themeColor="text1"/>
          <w:szCs w:val="21"/>
        </w:rPr>
        <w:t>事業実施内容及びその効果を評価</w:t>
      </w:r>
      <w:r w:rsidRPr="00790C02">
        <w:rPr>
          <w:rFonts w:ascii="Century" w:eastAsia="ＭＳ 明朝" w:hAnsi="Century" w:cs="Times New Roman" w:hint="eastAsia"/>
          <w:color w:val="000000" w:themeColor="text1"/>
          <w:szCs w:val="21"/>
        </w:rPr>
        <w:t>・分析</w:t>
      </w:r>
      <w:r w:rsidRPr="00790C02">
        <w:rPr>
          <w:rFonts w:ascii="Century" w:eastAsia="ＭＳ 明朝" w:hAnsi="Century" w:cs="Times New Roman"/>
          <w:color w:val="000000" w:themeColor="text1"/>
          <w:szCs w:val="21"/>
        </w:rPr>
        <w:t>し、報告すること。</w:t>
      </w:r>
    </w:p>
    <w:p w14:paraId="49D28A3E" w14:textId="77777777" w:rsidR="00B71D53" w:rsidRPr="00790C02" w:rsidRDefault="00B71D53" w:rsidP="00B71D53">
      <w:pPr>
        <w:autoSpaceDE w:val="0"/>
        <w:autoSpaceDN w:val="0"/>
        <w:ind w:leftChars="100" w:left="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w:t>
      </w:r>
    </w:p>
    <w:p w14:paraId="2D0E5400" w14:textId="77777777" w:rsidR="00B71D53" w:rsidRPr="00790C02" w:rsidRDefault="00B71D53" w:rsidP="00B71D53">
      <w:pPr>
        <w:autoSpaceDE w:val="0"/>
        <w:autoSpaceDN w:val="0"/>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(6)その他の留意事項</w:t>
      </w:r>
    </w:p>
    <w:p w14:paraId="19B957EC" w14:textId="47A6D2F3" w:rsidR="00B71D53" w:rsidRPr="00790C02" w:rsidRDefault="00B71D53" w:rsidP="00B71D53">
      <w:pPr>
        <w:autoSpaceDE w:val="0"/>
        <w:autoSpaceDN w:val="0"/>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ア　事業実施期間</w:t>
      </w:r>
      <w:r w:rsidR="004C5E8E">
        <w:rPr>
          <w:rFonts w:ascii="ＭＳ 明朝" w:eastAsia="ＭＳ 明朝" w:hAnsi="ＭＳ 明朝" w:cs="Times New Roman" w:hint="eastAsia"/>
          <w:color w:val="000000" w:themeColor="text1"/>
          <w:szCs w:val="21"/>
        </w:rPr>
        <w:t>中に岩手県ＩＬＣ推進局との協議により、事業実施内容</w:t>
      </w:r>
      <w:r w:rsidRPr="00790C02">
        <w:rPr>
          <w:rFonts w:ascii="ＭＳ 明朝" w:eastAsia="ＭＳ 明朝" w:hAnsi="ＭＳ 明朝" w:cs="Times New Roman" w:hint="eastAsia"/>
          <w:color w:val="000000" w:themeColor="text1"/>
          <w:szCs w:val="21"/>
        </w:rPr>
        <w:t>を調整する場合がある。</w:t>
      </w:r>
    </w:p>
    <w:p w14:paraId="766EBCFE" w14:textId="77777777" w:rsidR="00B71D53" w:rsidRPr="00790C02" w:rsidRDefault="00B71D53" w:rsidP="00B71D53">
      <w:pPr>
        <w:ind w:leftChars="203" w:left="707" w:hangingChars="134" w:hanging="281"/>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イ　２(1)～(4)の実施内容やデザインについて、連動性や統一性のあるものとすること。</w:t>
      </w:r>
    </w:p>
    <w:p w14:paraId="11554853" w14:textId="4141CA7E" w:rsidR="00B71D53" w:rsidRPr="00790C02" w:rsidRDefault="00B71D53" w:rsidP="00B71D53">
      <w:pPr>
        <w:ind w:leftChars="100" w:left="630" w:hangingChars="200" w:hanging="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ウ　２(1)～(4)で作成する広告物等のデザイン及び記載内容については、提示された案を受託者と</w:t>
      </w:r>
      <w:r w:rsidR="00803BEF" w:rsidRPr="00790C02">
        <w:rPr>
          <w:rFonts w:ascii="ＭＳ 明朝" w:eastAsia="ＭＳ 明朝" w:hAnsi="ＭＳ 明朝" w:cs="Times New Roman" w:hint="eastAsia"/>
          <w:color w:val="000000" w:themeColor="text1"/>
          <w:szCs w:val="21"/>
        </w:rPr>
        <w:t>岩手県ＩＬＣ推進局</w:t>
      </w:r>
      <w:r w:rsidRPr="00790C02">
        <w:rPr>
          <w:rFonts w:ascii="ＭＳ 明朝" w:eastAsia="ＭＳ 明朝" w:hAnsi="ＭＳ 明朝" w:cs="Times New Roman" w:hint="eastAsia"/>
          <w:color w:val="000000" w:themeColor="text1"/>
          <w:szCs w:val="21"/>
        </w:rPr>
        <w:t>とで調整の上、決定すること。また、</w:t>
      </w:r>
      <w:r w:rsidR="00546503" w:rsidRPr="00790C02">
        <w:rPr>
          <w:rFonts w:ascii="ＭＳ 明朝" w:eastAsia="ＭＳ 明朝" w:hAnsi="ＭＳ 明朝" w:cs="Times New Roman" w:hint="eastAsia"/>
          <w:color w:val="000000" w:themeColor="text1"/>
          <w:szCs w:val="21"/>
        </w:rPr>
        <w:t>そ</w:t>
      </w:r>
      <w:r w:rsidRPr="00790C02">
        <w:rPr>
          <w:rFonts w:ascii="ＭＳ 明朝" w:eastAsia="ＭＳ 明朝" w:hAnsi="ＭＳ 明朝" w:cs="Times New Roman" w:hint="eastAsia"/>
          <w:color w:val="000000" w:themeColor="text1"/>
          <w:szCs w:val="21"/>
        </w:rPr>
        <w:t>の調整に</w:t>
      </w:r>
      <w:r w:rsidR="00F42C65" w:rsidRPr="00790C02">
        <w:rPr>
          <w:rFonts w:ascii="ＭＳ 明朝" w:eastAsia="ＭＳ 明朝" w:hAnsi="ＭＳ 明朝" w:cs="Times New Roman" w:hint="eastAsia"/>
          <w:color w:val="000000" w:themeColor="text1"/>
          <w:szCs w:val="21"/>
        </w:rPr>
        <w:t>ついて</w:t>
      </w:r>
      <w:r w:rsidRPr="00790C02">
        <w:rPr>
          <w:rFonts w:ascii="ＭＳ 明朝" w:eastAsia="ＭＳ 明朝" w:hAnsi="ＭＳ 明朝" w:cs="Times New Roman" w:hint="eastAsia"/>
          <w:color w:val="000000" w:themeColor="text1"/>
          <w:szCs w:val="21"/>
        </w:rPr>
        <w:t>は、校正回数</w:t>
      </w:r>
      <w:r w:rsidR="001654C8" w:rsidRPr="00790C02">
        <w:rPr>
          <w:rFonts w:ascii="ＭＳ 明朝" w:eastAsia="ＭＳ 明朝" w:hAnsi="ＭＳ 明朝" w:cs="Times New Roman" w:hint="eastAsia"/>
          <w:color w:val="000000" w:themeColor="text1"/>
          <w:szCs w:val="21"/>
        </w:rPr>
        <w:t>を</w:t>
      </w:r>
      <w:r w:rsidRPr="00790C02">
        <w:rPr>
          <w:rFonts w:ascii="ＭＳ 明朝" w:eastAsia="ＭＳ 明朝" w:hAnsi="ＭＳ 明朝" w:cs="Times New Roman" w:hint="eastAsia"/>
          <w:color w:val="000000" w:themeColor="text1"/>
          <w:szCs w:val="21"/>
        </w:rPr>
        <w:t>２回以上見込むこと</w:t>
      </w:r>
      <w:r w:rsidR="00507BD3" w:rsidRPr="00790C02">
        <w:rPr>
          <w:rFonts w:ascii="ＭＳ 明朝" w:eastAsia="ＭＳ 明朝" w:hAnsi="ＭＳ 明朝" w:cs="Times New Roman" w:hint="eastAsia"/>
          <w:color w:val="000000" w:themeColor="text1"/>
          <w:szCs w:val="21"/>
        </w:rPr>
        <w:t>。</w:t>
      </w:r>
    </w:p>
    <w:p w14:paraId="0FC448EF" w14:textId="369ADFAF" w:rsidR="00B71D53" w:rsidRPr="00790C02" w:rsidRDefault="00B71D53" w:rsidP="00B71D53">
      <w:pPr>
        <w:ind w:leftChars="217" w:left="702" w:hangingChars="117" w:hanging="246"/>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エ　発信に係り、</w:t>
      </w:r>
      <w:r w:rsidR="00FE17D2" w:rsidRPr="00790C02">
        <w:rPr>
          <w:rFonts w:ascii="ＭＳ 明朝" w:eastAsia="ＭＳ 明朝" w:hAnsi="ＭＳ 明朝" w:cs="Times New Roman" w:hint="eastAsia"/>
          <w:color w:val="000000" w:themeColor="text1"/>
          <w:szCs w:val="21"/>
        </w:rPr>
        <w:t>岩手県</w:t>
      </w:r>
      <w:r w:rsidRPr="00790C02">
        <w:rPr>
          <w:rFonts w:ascii="ＭＳ 明朝" w:eastAsia="ＭＳ 明朝" w:hAnsi="ＭＳ 明朝" w:cs="Times New Roman" w:hint="eastAsia"/>
          <w:color w:val="000000" w:themeColor="text1"/>
          <w:szCs w:val="21"/>
        </w:rPr>
        <w:t>ＩＬＣ推進局から既存パンフレット等による情報提供が可能であるほか、別紙掲載のコンテンツを利用することも可能（利用許諾は受託者で行うこと）であるもの。</w:t>
      </w:r>
    </w:p>
    <w:p w14:paraId="782EB5D0" w14:textId="77777777" w:rsidR="00B71D53" w:rsidRPr="00790C02" w:rsidRDefault="00B71D53" w:rsidP="00B71D53">
      <w:pPr>
        <w:ind w:leftChars="217" w:left="702" w:hangingChars="117" w:hanging="246"/>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オ　各コンテンツが連動し合い、相乗効果を生み出すような提案を行うこと。</w:t>
      </w:r>
    </w:p>
    <w:p w14:paraId="6B103685" w14:textId="636CF38C" w:rsidR="00E97593" w:rsidRPr="00790C02" w:rsidRDefault="00B71D53" w:rsidP="00B71D53">
      <w:pPr>
        <w:ind w:leftChars="217" w:left="702" w:hangingChars="117" w:hanging="246"/>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カ　</w:t>
      </w:r>
      <w:r w:rsidRPr="00790C02">
        <w:rPr>
          <w:rFonts w:ascii="Century" w:eastAsia="ＭＳ 明朝" w:hAnsi="Century" w:cs="Times New Roman" w:hint="eastAsia"/>
          <w:color w:val="000000" w:themeColor="text1"/>
          <w:szCs w:val="21"/>
        </w:rPr>
        <w:t>２</w:t>
      </w:r>
      <w:r w:rsidR="007D2531" w:rsidRPr="00790C02">
        <w:rPr>
          <w:rFonts w:ascii="ＭＳ 明朝" w:eastAsia="ＭＳ 明朝" w:hAnsi="ＭＳ 明朝" w:cs="Times New Roman" w:hint="eastAsia"/>
          <w:color w:val="000000" w:themeColor="text1"/>
          <w:szCs w:val="21"/>
        </w:rPr>
        <w:t>(5</w:t>
      </w:r>
      <w:r w:rsidRPr="00790C02">
        <w:rPr>
          <w:rFonts w:ascii="ＭＳ 明朝" w:eastAsia="ＭＳ 明朝" w:hAnsi="ＭＳ 明朝" w:cs="Times New Roman" w:hint="eastAsia"/>
          <w:color w:val="000000" w:themeColor="text1"/>
          <w:szCs w:val="21"/>
        </w:rPr>
        <w:t>)で設定する</w:t>
      </w:r>
      <w:r w:rsidRPr="00790C02">
        <w:rPr>
          <w:rFonts w:ascii="Century" w:eastAsia="ＭＳ 明朝" w:hAnsi="Century" w:cs="Times New Roman" w:hint="eastAsia"/>
          <w:color w:val="000000" w:themeColor="text1"/>
          <w:szCs w:val="21"/>
        </w:rPr>
        <w:t>目標値を達成できるよう、定期的にデータを分析し、対応を提案すること。</w:t>
      </w:r>
      <w:r w:rsidR="00E97593" w:rsidRPr="00790C02">
        <w:rPr>
          <w:rFonts w:ascii="ＭＳ 明朝" w:eastAsia="ＭＳ 明朝" w:hAnsi="ＭＳ 明朝" w:cs="Times New Roman"/>
          <w:color w:val="000000" w:themeColor="text1"/>
          <w:szCs w:val="21"/>
        </w:rPr>
        <w:br w:type="page"/>
      </w:r>
    </w:p>
    <w:p w14:paraId="68086AB9" w14:textId="77777777" w:rsidR="00B71D53" w:rsidRPr="00790C02" w:rsidRDefault="00B71D53" w:rsidP="00B71D53">
      <w:pPr>
        <w:ind w:left="365" w:hangingChars="174" w:hanging="365"/>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(7)　参考</w:t>
      </w:r>
    </w:p>
    <w:p w14:paraId="25F33651" w14:textId="01A3338C" w:rsidR="00B71D53" w:rsidRPr="00790C02" w:rsidRDefault="00B71D53" w:rsidP="00B71D53">
      <w:pPr>
        <w:ind w:leftChars="29" w:left="426" w:hangingChars="174" w:hanging="365"/>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岩手県では、令和７年６月13日（金）～15日（日）の間、万博に</w:t>
      </w:r>
      <w:r w:rsidR="002F5CA4" w:rsidRPr="00790C02">
        <w:rPr>
          <w:rFonts w:ascii="ＭＳ 明朝" w:eastAsia="ＭＳ 明朝" w:hAnsi="ＭＳ 明朝" w:cs="Times New Roman" w:hint="eastAsia"/>
          <w:color w:val="000000" w:themeColor="text1"/>
          <w:szCs w:val="21"/>
        </w:rPr>
        <w:t>おい</w:t>
      </w:r>
      <w:r w:rsidRPr="00790C02">
        <w:rPr>
          <w:rFonts w:ascii="ＭＳ 明朝" w:eastAsia="ＭＳ 明朝" w:hAnsi="ＭＳ 明朝" w:cs="Times New Roman" w:hint="eastAsia"/>
          <w:color w:val="000000" w:themeColor="text1"/>
          <w:szCs w:val="21"/>
        </w:rPr>
        <w:t>てＩＬＣを含む東北６県合同ブースを出展する予定であること。</w:t>
      </w:r>
    </w:p>
    <w:p w14:paraId="7E77859B" w14:textId="77777777" w:rsidR="00B71D53" w:rsidRPr="00790C02" w:rsidRDefault="00B71D53" w:rsidP="00B71D53">
      <w:pPr>
        <w:ind w:leftChars="217" w:left="702" w:hangingChars="117" w:hanging="246"/>
        <w:rPr>
          <w:rFonts w:ascii="ＭＳ ゴシック" w:eastAsia="ＭＳ ゴシック" w:hAnsi="ＭＳ ゴシック"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w:t>
      </w:r>
    </w:p>
    <w:p w14:paraId="4A4D96C0" w14:textId="77777777" w:rsidR="00B71D53" w:rsidRPr="00790C02" w:rsidRDefault="00B71D53" w:rsidP="00B71D53">
      <w:pPr>
        <w:rPr>
          <w:rFonts w:ascii="ＭＳ ゴシック" w:eastAsia="ＭＳ ゴシック" w:hAnsi="ＭＳ ゴシック" w:cs="Times New Roman"/>
          <w:color w:val="000000" w:themeColor="text1"/>
          <w:szCs w:val="21"/>
        </w:rPr>
      </w:pPr>
      <w:r w:rsidRPr="00790C02">
        <w:rPr>
          <w:rFonts w:ascii="ＭＳ ゴシック" w:eastAsia="ＭＳ ゴシック" w:hAnsi="ＭＳ ゴシック" w:cs="Times New Roman" w:hint="eastAsia"/>
          <w:color w:val="000000" w:themeColor="text1"/>
          <w:szCs w:val="21"/>
        </w:rPr>
        <w:t>３　企画提案書等</w:t>
      </w:r>
    </w:p>
    <w:p w14:paraId="1D9D1EF1" w14:textId="77777777" w:rsidR="00B71D53" w:rsidRPr="00790C02" w:rsidRDefault="00B71D53" w:rsidP="00B71D53">
      <w:pPr>
        <w:rPr>
          <w:rFonts w:ascii="ＭＳ ゴシック" w:eastAsia="ＭＳ ゴシック" w:hAnsi="ＭＳ ゴシック"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(1)　企画提案書の作成</w:t>
      </w:r>
    </w:p>
    <w:p w14:paraId="2FB8B933" w14:textId="77777777" w:rsidR="00B71D53" w:rsidRPr="00790C02" w:rsidRDefault="00B71D53" w:rsidP="00B71D53">
      <w:pPr>
        <w:ind w:left="840" w:hangingChars="400" w:hanging="840"/>
        <w:rPr>
          <w:rFonts w:ascii="ＭＳ 明朝" w:eastAsia="ＭＳ 明朝" w:hAnsi="ＭＳ 明朝" w:cs="Times New Roman"/>
          <w:color w:val="000000" w:themeColor="text1"/>
          <w:szCs w:val="21"/>
        </w:rPr>
      </w:pPr>
      <w:r w:rsidRPr="00790C02">
        <w:rPr>
          <w:rFonts w:ascii="ＭＳ ゴシック" w:eastAsia="ＭＳ ゴシック" w:hAnsi="ＭＳ ゴシック" w:cs="Times New Roman" w:hint="eastAsia"/>
          <w:color w:val="000000" w:themeColor="text1"/>
          <w:szCs w:val="21"/>
        </w:rPr>
        <w:t xml:space="preserve">　　　</w:t>
      </w:r>
      <w:r w:rsidRPr="00790C02">
        <w:rPr>
          <w:rFonts w:ascii="ＭＳ 明朝" w:eastAsia="ＭＳ 明朝" w:hAnsi="ＭＳ 明朝" w:cs="Times New Roman" w:hint="eastAsia"/>
          <w:color w:val="000000" w:themeColor="text1"/>
          <w:szCs w:val="21"/>
        </w:rPr>
        <w:t>ア　コンペ参加者は、「１　趣旨」「２　業務内容」に沿った内容で、かつ次の事項を明確にした企画提案書を作成すること。</w:t>
      </w:r>
    </w:p>
    <w:p w14:paraId="5CA5B577" w14:textId="77777777" w:rsidR="00B71D53" w:rsidRPr="00790C02" w:rsidRDefault="00B71D53" w:rsidP="00B71D53">
      <w:pPr>
        <w:ind w:leftChars="200" w:left="63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(ｱ)　企画提案のコンセプト</w:t>
      </w:r>
    </w:p>
    <w:p w14:paraId="5C2F6B33" w14:textId="77777777" w:rsidR="00B71D53" w:rsidRPr="00790C02" w:rsidRDefault="00B71D53" w:rsidP="00B71D53">
      <w:pPr>
        <w:ind w:leftChars="105" w:left="85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ＩＬＣ日本誘致に向けた機運の醸成に繋がるＰＲ戦略の考え方を提案すること。</w:t>
      </w:r>
    </w:p>
    <w:p w14:paraId="22305C9F" w14:textId="77777777" w:rsidR="00B71D53" w:rsidRPr="00790C02" w:rsidRDefault="00B71D53" w:rsidP="00B71D53">
      <w:pPr>
        <w:ind w:leftChars="200" w:left="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(ｲ)　具体的実施方法（業務内容ごとに作成）と効果測定方法（目標値の提案含む）</w:t>
      </w:r>
    </w:p>
    <w:p w14:paraId="345DF21D" w14:textId="77777777" w:rsidR="00B71D53" w:rsidRPr="00790C02" w:rsidRDefault="00B71D53" w:rsidP="00B71D53">
      <w:pPr>
        <w:ind w:leftChars="200" w:left="1260" w:hangingChars="400" w:hanging="84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・２(1)～(3)で制作する制作物の構成やデザインがイメージできる見本を提案すること。</w:t>
      </w:r>
    </w:p>
    <w:p w14:paraId="131E1EC6" w14:textId="77777777" w:rsidR="00B71D53" w:rsidRPr="00790C02" w:rsidRDefault="00B71D53" w:rsidP="00B71D53">
      <w:pPr>
        <w:ind w:leftChars="200" w:left="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・２(1)及び(3)については、掲載場所や掲載方法を具体的に提案すること。</w:t>
      </w:r>
    </w:p>
    <w:p w14:paraId="058F5C6A" w14:textId="77777777" w:rsidR="00B71D53" w:rsidRPr="00790C02" w:rsidRDefault="00B71D53" w:rsidP="00B71D53">
      <w:pPr>
        <w:ind w:leftChars="200" w:left="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・設定が可能なものは、具体的な効果測定方法と目標値を提案すること。</w:t>
      </w:r>
    </w:p>
    <w:p w14:paraId="67D8F0BF" w14:textId="77777777" w:rsidR="00B71D53" w:rsidRPr="00790C02" w:rsidRDefault="00B71D53" w:rsidP="00B71D53">
      <w:pPr>
        <w:ind w:leftChars="200" w:left="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w:t>
      </w:r>
      <w:r w:rsidRPr="00790C02">
        <w:rPr>
          <w:rFonts w:ascii="ＭＳ 明朝" w:eastAsia="ＭＳ 明朝" w:hAnsi="ＭＳ 明朝" w:cs="Times New Roman"/>
          <w:color w:val="000000" w:themeColor="text1"/>
          <w:szCs w:val="21"/>
        </w:rPr>
        <w:t>(</w:t>
      </w:r>
      <w:r w:rsidRPr="00790C02">
        <w:rPr>
          <w:rFonts w:ascii="ＭＳ 明朝" w:eastAsia="ＭＳ 明朝" w:hAnsi="ＭＳ 明朝" w:cs="Times New Roman" w:hint="eastAsia"/>
          <w:color w:val="000000" w:themeColor="text1"/>
          <w:szCs w:val="21"/>
        </w:rPr>
        <w:t>ｳ)　実施スケジュール</w:t>
      </w:r>
    </w:p>
    <w:p w14:paraId="0898CFF8" w14:textId="77777777" w:rsidR="00B71D53" w:rsidRPr="00790C02" w:rsidRDefault="00B71D53" w:rsidP="00B71D53">
      <w:pPr>
        <w:ind w:leftChars="200" w:left="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令和７年度における実施計画を提案すること。</w:t>
      </w:r>
    </w:p>
    <w:p w14:paraId="696F04E1" w14:textId="77777777" w:rsidR="00B71D53" w:rsidRPr="00790C02" w:rsidRDefault="00B71D53" w:rsidP="00B71D53">
      <w:pPr>
        <w:ind w:leftChars="200" w:left="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(ｴ)　業務の監理体制（責任者名等）【別紙様式】</w:t>
      </w:r>
    </w:p>
    <w:p w14:paraId="631B16E2" w14:textId="77777777" w:rsidR="00B71D53" w:rsidRPr="00790C02" w:rsidRDefault="00B71D53" w:rsidP="00B71D53">
      <w:pPr>
        <w:ind w:leftChars="300" w:left="84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イ　企画提案は、コンペ参加者（共同提案にあっては当該共同体）１者につき１提案とすること。</w:t>
      </w:r>
    </w:p>
    <w:p w14:paraId="2149D291" w14:textId="77777777" w:rsidR="00B71D53" w:rsidRPr="00790C02" w:rsidRDefault="00B71D53" w:rsidP="00B71D53">
      <w:pPr>
        <w:ind w:leftChars="300" w:left="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ウ　企画提案は、全て企画提案書に記載すること。</w:t>
      </w:r>
    </w:p>
    <w:p w14:paraId="281FBED2"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p>
    <w:p w14:paraId="64E85654"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(2)　積算内訳書の作成</w:t>
      </w:r>
    </w:p>
    <w:p w14:paraId="4044BEC4" w14:textId="77777777" w:rsidR="00B71D53" w:rsidRPr="00790C02" w:rsidRDefault="00B71D53" w:rsidP="00B71D53">
      <w:pPr>
        <w:ind w:leftChars="35" w:left="703"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ア　本業務の実施に要する経費の内訳（項目、数量、単価、金額、税等）を明らかにした積算内訳書をＡ４判で作成すること。</w:t>
      </w:r>
    </w:p>
    <w:p w14:paraId="28572E69" w14:textId="77777777" w:rsidR="00B71D53" w:rsidRPr="00790C02" w:rsidRDefault="00B71D53" w:rsidP="00B71D53">
      <w:pPr>
        <w:ind w:leftChars="200" w:left="630" w:hangingChars="100" w:hanging="210"/>
        <w:rPr>
          <w:rFonts w:ascii="ＭＳ 明朝" w:eastAsia="ＭＳ 明朝" w:hAnsi="ＭＳ 明朝" w:cs="Times New Roman"/>
          <w:color w:val="000000" w:themeColor="text1"/>
          <w:szCs w:val="21"/>
          <w:highlight w:val="yellow"/>
        </w:rPr>
      </w:pPr>
      <w:r w:rsidRPr="00790C02">
        <w:rPr>
          <w:rFonts w:ascii="ＭＳ 明朝" w:eastAsia="ＭＳ 明朝" w:hAnsi="ＭＳ 明朝" w:cs="Times New Roman" w:hint="eastAsia"/>
          <w:color w:val="000000" w:themeColor="text1"/>
          <w:szCs w:val="21"/>
        </w:rPr>
        <w:t xml:space="preserve">　　なお、提案に係る費用の総額は、資料１「</w:t>
      </w:r>
      <w:r w:rsidRPr="00790C02">
        <w:rPr>
          <w:rFonts w:ascii="ＭＳ 明朝" w:eastAsia="ＭＳ 明朝" w:hAnsi="ＭＳ 明朝" w:cs="Times New Roman"/>
          <w:color w:val="000000" w:themeColor="text1"/>
          <w:szCs w:val="21"/>
        </w:rPr>
        <w:t>令和７年度ＩＬＣ実現に向けた国民的な機運醸成業務</w:t>
      </w:r>
      <w:r w:rsidRPr="00790C02">
        <w:rPr>
          <w:rFonts w:ascii="ＭＳ 明朝" w:eastAsia="ＭＳ 明朝" w:hAnsi="ＭＳ 明朝" w:cs="Times New Roman" w:hint="eastAsia"/>
          <w:color w:val="000000" w:themeColor="text1"/>
          <w:szCs w:val="21"/>
        </w:rPr>
        <w:t>企画コンペ実施要領」１(4)に定める委託予定額を超えないこと。</w:t>
      </w:r>
    </w:p>
    <w:p w14:paraId="339C3761"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イ　積算内訳書は任意の様式によるものとし、企画提案書と別冊で作成すること。</w:t>
      </w:r>
    </w:p>
    <w:p w14:paraId="0B0557C9"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ウ　積算内訳書には次の項目を表記すること。</w:t>
      </w:r>
    </w:p>
    <w:p w14:paraId="670581CC"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（ｱ）　宛名を「岩手県知事達増拓也」とすること。</w:t>
      </w:r>
    </w:p>
    <w:p w14:paraId="59516FC3"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（ｲ）　参加者の商号又は名称</w:t>
      </w:r>
    </w:p>
    <w:p w14:paraId="243960F6"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（ｳ）　参加者の代表者氏名及び代表者印</w:t>
      </w:r>
    </w:p>
    <w:p w14:paraId="48497E08"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(3)　企画提案書及び積算内訳書の提出</w:t>
      </w:r>
    </w:p>
    <w:p w14:paraId="4674C961" w14:textId="77777777" w:rsidR="00B71D53" w:rsidRPr="00790C02" w:rsidRDefault="00B71D53" w:rsidP="00B71D53">
      <w:pPr>
        <w:ind w:leftChars="200" w:left="63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ア　提出部数は各10部とすること。</w:t>
      </w:r>
    </w:p>
    <w:p w14:paraId="095E6B3A" w14:textId="65B16456" w:rsidR="00B71D53" w:rsidRDefault="00B71D53" w:rsidP="00B71D53">
      <w:pPr>
        <w:ind w:leftChars="200" w:left="63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イ　一度提出した企画提案書及び積算内訳書は、これを書換え、引換え、撤回することができないものとする。</w:t>
      </w:r>
    </w:p>
    <w:p w14:paraId="61631EDE" w14:textId="77777777" w:rsidR="00E5214D" w:rsidRPr="00790C02" w:rsidRDefault="00E5214D" w:rsidP="00B71D53">
      <w:pPr>
        <w:ind w:leftChars="200" w:left="630" w:hangingChars="100" w:hanging="210"/>
        <w:rPr>
          <w:rFonts w:ascii="ＭＳ 明朝" w:eastAsia="ＭＳ 明朝" w:hAnsi="ＭＳ 明朝" w:cs="Times New Roman"/>
          <w:color w:val="000000" w:themeColor="text1"/>
          <w:szCs w:val="21"/>
        </w:rPr>
      </w:pPr>
    </w:p>
    <w:p w14:paraId="064467FD" w14:textId="77777777" w:rsidR="00B71D53" w:rsidRPr="00790C02" w:rsidRDefault="00B71D53" w:rsidP="00B71D53">
      <w:pPr>
        <w:ind w:leftChars="19" w:left="315" w:hangingChars="131" w:hanging="275"/>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(4)　その他</w:t>
      </w:r>
    </w:p>
    <w:p w14:paraId="09560C83" w14:textId="77777777" w:rsidR="00B71D53" w:rsidRPr="00790C02" w:rsidRDefault="00B71D53" w:rsidP="00B71D53">
      <w:pPr>
        <w:ind w:leftChars="68" w:left="418" w:hangingChars="131" w:hanging="275"/>
        <w:rPr>
          <w:rFonts w:ascii="Century" w:eastAsia="ＭＳ 明朝" w:hAnsi="Century" w:cs="Times New Roman"/>
          <w:color w:val="000000" w:themeColor="text1"/>
          <w:szCs w:val="21"/>
        </w:rPr>
      </w:pPr>
      <w:r w:rsidRPr="00790C02">
        <w:rPr>
          <w:rFonts w:ascii="ＭＳ 明朝" w:eastAsia="ＭＳ 明朝" w:hAnsi="ＭＳ 明朝" w:cs="Times New Roman"/>
          <w:color w:val="000000" w:themeColor="text1"/>
          <w:szCs w:val="21"/>
        </w:rPr>
        <w:t xml:space="preserve">   </w:t>
      </w:r>
      <w:r w:rsidRPr="00790C02">
        <w:rPr>
          <w:rFonts w:ascii="Century" w:eastAsia="ＭＳ 明朝" w:hAnsi="Century" w:cs="Times New Roman" w:hint="eastAsia"/>
          <w:color w:val="000000" w:themeColor="text1"/>
          <w:szCs w:val="21"/>
        </w:rPr>
        <w:t xml:space="preserve">ア　</w:t>
      </w:r>
      <w:r w:rsidRPr="00790C02">
        <w:rPr>
          <w:rFonts w:ascii="Century" w:eastAsia="ＭＳ 明朝" w:hAnsi="Century" w:cs="Times New Roman"/>
          <w:color w:val="000000" w:themeColor="text1"/>
          <w:szCs w:val="21"/>
        </w:rPr>
        <w:t>ページ番号は目次を除き通し番号とし、各ページの下部中央に印字すること。</w:t>
      </w:r>
    </w:p>
    <w:p w14:paraId="452AA886" w14:textId="77777777" w:rsidR="00B71D53" w:rsidRPr="00790C02" w:rsidRDefault="00B71D53" w:rsidP="00B71D53">
      <w:pPr>
        <w:ind w:leftChars="68" w:left="418" w:hangingChars="131" w:hanging="275"/>
        <w:rPr>
          <w:rFonts w:ascii="Century" w:eastAsia="ＭＳ 明朝" w:hAnsi="Century" w:cs="Times New Roman"/>
          <w:color w:val="000000" w:themeColor="text1"/>
          <w:szCs w:val="21"/>
        </w:rPr>
      </w:pPr>
      <w:r w:rsidRPr="00790C02">
        <w:rPr>
          <w:rFonts w:ascii="Century" w:eastAsia="ＭＳ 明朝" w:hAnsi="Century" w:cs="Times New Roman"/>
          <w:color w:val="000000" w:themeColor="text1"/>
          <w:szCs w:val="21"/>
        </w:rPr>
        <w:t xml:space="preserve">   </w:t>
      </w:r>
      <w:r w:rsidRPr="00790C02">
        <w:rPr>
          <w:rFonts w:ascii="Century" w:eastAsia="ＭＳ 明朝" w:hAnsi="Century" w:cs="Times New Roman" w:hint="eastAsia"/>
          <w:color w:val="000000" w:themeColor="text1"/>
          <w:szCs w:val="21"/>
        </w:rPr>
        <w:t xml:space="preserve">イ　</w:t>
      </w:r>
      <w:r w:rsidRPr="00790C02">
        <w:rPr>
          <w:rFonts w:ascii="Century" w:eastAsia="ＭＳ 明朝" w:hAnsi="Century" w:cs="Times New Roman"/>
          <w:color w:val="000000" w:themeColor="text1"/>
          <w:szCs w:val="21"/>
        </w:rPr>
        <w:t>企画提案書は</w:t>
      </w:r>
      <w:r w:rsidRPr="00790C02">
        <w:rPr>
          <w:rFonts w:ascii="Century" w:eastAsia="ＭＳ 明朝" w:hAnsi="Century" w:cs="Times New Roman" w:hint="eastAsia"/>
          <w:color w:val="000000" w:themeColor="text1"/>
          <w:szCs w:val="21"/>
        </w:rPr>
        <w:t>Ａ４</w:t>
      </w:r>
      <w:r w:rsidRPr="00790C02">
        <w:rPr>
          <w:rFonts w:ascii="ＭＳ 明朝" w:eastAsia="ＭＳ 明朝" w:hAnsi="ＭＳ 明朝" w:cs="Times New Roman"/>
          <w:color w:val="000000" w:themeColor="text1"/>
          <w:szCs w:val="21"/>
        </w:rPr>
        <w:t>版</w:t>
      </w:r>
      <w:r w:rsidRPr="00790C02">
        <w:rPr>
          <w:rFonts w:ascii="Century" w:eastAsia="ＭＳ 明朝" w:hAnsi="Century" w:cs="Times New Roman"/>
          <w:color w:val="000000" w:themeColor="text1"/>
          <w:szCs w:val="21"/>
        </w:rPr>
        <w:t>とすること。なお、縦・横の指定はしないものとする。</w:t>
      </w:r>
    </w:p>
    <w:p w14:paraId="108FF998" w14:textId="77777777" w:rsidR="00B71D53" w:rsidRPr="00790C02" w:rsidRDefault="00B71D53" w:rsidP="00B71D53">
      <w:pPr>
        <w:ind w:leftChars="35" w:left="283" w:hangingChars="100" w:hanging="210"/>
        <w:rPr>
          <w:rFonts w:ascii="ＭＳ 明朝" w:eastAsia="ＭＳ 明朝" w:hAnsi="ＭＳ 明朝" w:cs="Times New Roman"/>
          <w:color w:val="000000" w:themeColor="text1"/>
          <w:szCs w:val="21"/>
        </w:rPr>
      </w:pPr>
      <w:r w:rsidRPr="00790C02">
        <w:rPr>
          <w:rFonts w:ascii="Century" w:eastAsia="ＭＳ 明朝" w:hAnsi="Century" w:cs="Times New Roman"/>
          <w:color w:val="000000" w:themeColor="text1"/>
          <w:szCs w:val="21"/>
        </w:rPr>
        <w:t xml:space="preserve">    </w:t>
      </w:r>
    </w:p>
    <w:p w14:paraId="7E66F8AF" w14:textId="77777777" w:rsidR="00B71D53" w:rsidRPr="00790C02" w:rsidRDefault="00B71D53" w:rsidP="00B71D53">
      <w:pPr>
        <w:rPr>
          <w:rFonts w:ascii="ＭＳ ゴシック" w:eastAsia="ＭＳ ゴシック" w:hAnsi="ＭＳ ゴシック" w:cs="Times New Roman"/>
          <w:color w:val="000000" w:themeColor="text1"/>
          <w:szCs w:val="21"/>
        </w:rPr>
      </w:pPr>
      <w:r w:rsidRPr="00790C02">
        <w:rPr>
          <w:rFonts w:ascii="ＭＳ ゴシック" w:eastAsia="ＭＳ ゴシック" w:hAnsi="ＭＳ ゴシック" w:cs="Times New Roman" w:hint="eastAsia"/>
          <w:color w:val="000000" w:themeColor="text1"/>
          <w:szCs w:val="21"/>
        </w:rPr>
        <w:t>４　契約に関する条件</w:t>
      </w:r>
    </w:p>
    <w:p w14:paraId="4F5F41D1" w14:textId="77777777" w:rsidR="00B71D53" w:rsidRPr="00790C02" w:rsidRDefault="00B71D53" w:rsidP="00B71D53">
      <w:pPr>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(1)　再委託等の制限</w:t>
      </w:r>
    </w:p>
    <w:p w14:paraId="146CCCAA" w14:textId="77777777" w:rsidR="00B71D53" w:rsidRPr="00790C02" w:rsidRDefault="00B71D53" w:rsidP="00B71D53">
      <w:pPr>
        <w:ind w:leftChars="300" w:left="630" w:firstLineChars="67" w:firstLine="141"/>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受託者は、受託者が行う業務を一括して第三者に委託し、又は請け負わせてはならない。業務の一部を第三者に委託する場合は、事前に、再委託の内容、再委託先（称号又は名称）、その他再委託先に対する管理方法等、必要事項を県に対して文書で報告し、県と協議して了承を得ること。</w:t>
      </w:r>
    </w:p>
    <w:p w14:paraId="2CF45227" w14:textId="77777777" w:rsidR="00B71D53" w:rsidRPr="00790C02" w:rsidRDefault="00B71D53" w:rsidP="00B71D53">
      <w:pPr>
        <w:ind w:leftChars="100" w:left="210"/>
        <w:rPr>
          <w:rFonts w:ascii="ＭＳ 明朝" w:eastAsia="ＭＳ 明朝" w:hAnsi="ＭＳ 明朝" w:cs="Times New Roman"/>
          <w:color w:val="000000" w:themeColor="text1"/>
          <w:szCs w:val="21"/>
        </w:rPr>
      </w:pPr>
    </w:p>
    <w:p w14:paraId="34006514"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(2)　業務履行に係る関係人に関する措置要求</w:t>
      </w:r>
    </w:p>
    <w:p w14:paraId="0E3291FA" w14:textId="77777777" w:rsidR="00B71D53" w:rsidRPr="00790C02" w:rsidRDefault="00B71D53" w:rsidP="00B71D53">
      <w:pPr>
        <w:ind w:leftChars="100" w:left="630" w:hangingChars="200" w:hanging="42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ア　県は、本業務の履行につき著しく不適当と認められるときは、受託者に対して、その理由を明示した書面により、必要な措置をとるべきことを請求することができる。</w:t>
      </w:r>
    </w:p>
    <w:p w14:paraId="4516D1E7"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イ　県は、受託者から委託を受けた者で本業務の履行につき著しく不適当と認められる者があるときは、受託者に対して、その理由を明示した書面により、必要な措置を取るべきことを請求することができる。</w:t>
      </w:r>
    </w:p>
    <w:p w14:paraId="177F5998"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ウ　受託者は、上記①、②による請求があったときは、当該請求に係る事項について決定し、その結果の請求を受けた日から10日以内に県に書面で通知しなければならない。</w:t>
      </w:r>
    </w:p>
    <w:p w14:paraId="0B9CEB6C"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p>
    <w:p w14:paraId="1E00417D" w14:textId="77777777" w:rsidR="00B71D53" w:rsidRPr="00790C02" w:rsidRDefault="00B71D53" w:rsidP="00B71D53">
      <w:pPr>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(3)　権利の帰属等</w:t>
      </w:r>
    </w:p>
    <w:p w14:paraId="0ADD152E" w14:textId="77777777" w:rsidR="00B71D53" w:rsidRPr="00790C02" w:rsidRDefault="00B71D53" w:rsidP="00B71D53">
      <w:pPr>
        <w:ind w:left="424" w:hangingChars="202" w:hanging="424"/>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本業務の実施により制作された成果物及び資料又はその利用に関する著作権、所有権等に関しては、原則として委託料の支払いが完了したときをもって受託者から県に移転することとするが、その詳細については、県及び受託者間で協議のうえ、定める。</w:t>
      </w:r>
      <w:r w:rsidRPr="00790C02">
        <w:rPr>
          <w:rFonts w:ascii="ＭＳ 明朝" w:eastAsia="ＭＳ 明朝" w:hAnsi="ＭＳ 明朝" w:cs="Times New Roman"/>
          <w:color w:val="000000" w:themeColor="text1"/>
          <w:szCs w:val="21"/>
        </w:rPr>
        <w:br/>
      </w:r>
      <w:r w:rsidRPr="00790C02">
        <w:rPr>
          <w:rFonts w:ascii="ＭＳ 明朝" w:eastAsia="ＭＳ 明朝" w:hAnsi="ＭＳ 明朝" w:cs="Times New Roman" w:hint="eastAsia"/>
          <w:color w:val="000000" w:themeColor="text1"/>
          <w:szCs w:val="21"/>
        </w:rPr>
        <w:t xml:space="preserve">　また、この業務において取得した備品（岩手県物品管理（昭和 42 年３月 28 日規則第 18 号）第６条に定める備品）については、業務終了後、県に帰属する。</w:t>
      </w:r>
    </w:p>
    <w:p w14:paraId="5E824519"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p>
    <w:p w14:paraId="46A1C38C"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(4)　第三者の著作権やプライバシー権等の侵害等に関する保証</w:t>
      </w:r>
    </w:p>
    <w:p w14:paraId="46D7A82D"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ア　受託者は、県に対し、動画及びＳＮＳでの投稿等が、第三者の著作権その他第三者の権利を侵害しないものであることを保証すること。</w:t>
      </w:r>
    </w:p>
    <w:p w14:paraId="5A5BA9C7"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イ　受託者は、県に対し、動画及びＳＮＳでの投稿等が、第三者の著作権、プライバシー権、名誉権、パブリシティ権その他いかなる権利をも侵害しないものであることを保証する　　こと。万一、動画及びＳＮＳでの投稿等に関して、第三者から権利の主張、意義、苦情、対価の請求、損害賠償請求等がなされた場合、受託者は、その責任と負担の下、これに対処、解決するものとし、県に対して、一切の迷惑をかけないものとすること。</w:t>
      </w:r>
    </w:p>
    <w:p w14:paraId="098D128F" w14:textId="77777777" w:rsidR="00B71D53" w:rsidRPr="00790C02" w:rsidRDefault="00B71D53" w:rsidP="00B71D53">
      <w:pPr>
        <w:ind w:left="630" w:hangingChars="300" w:hanging="63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※ＳＮＳの投稿については、実施する場合のみ。</w:t>
      </w:r>
    </w:p>
    <w:p w14:paraId="040DB492" w14:textId="66A6ADE5" w:rsidR="0020677B" w:rsidRPr="00790C02" w:rsidRDefault="0020677B" w:rsidP="00B71D53">
      <w:pPr>
        <w:ind w:leftChars="100" w:left="42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color w:val="000000" w:themeColor="text1"/>
          <w:szCs w:val="21"/>
        </w:rPr>
        <w:br w:type="page"/>
      </w:r>
    </w:p>
    <w:p w14:paraId="1CD4F67F"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(5)　機密の保持</w:t>
      </w:r>
    </w:p>
    <w:p w14:paraId="3101151E" w14:textId="77777777" w:rsidR="00B71D53" w:rsidRPr="00790C02" w:rsidRDefault="00B71D53" w:rsidP="00B71D53">
      <w:pPr>
        <w:ind w:leftChars="67" w:left="563" w:hangingChars="201" w:hanging="422"/>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受託者は、本業務を通じて知り得た情報を機密情報として扱い、目的外の利用、第三者に開示、漏えいしてはならない。契約終了後もまた同様である。</w:t>
      </w:r>
    </w:p>
    <w:p w14:paraId="1193F578" w14:textId="77777777" w:rsidR="00B71D53" w:rsidRPr="00790C02" w:rsidRDefault="00B71D53" w:rsidP="00B71D53">
      <w:pPr>
        <w:ind w:left="420" w:hangingChars="200" w:hanging="420"/>
        <w:rPr>
          <w:rFonts w:ascii="ＭＳ 明朝" w:eastAsia="ＭＳ 明朝" w:hAnsi="ＭＳ 明朝" w:cs="Times New Roman"/>
          <w:color w:val="000000" w:themeColor="text1"/>
          <w:szCs w:val="21"/>
        </w:rPr>
      </w:pPr>
    </w:p>
    <w:p w14:paraId="743CC0B3" w14:textId="77777777" w:rsidR="00B71D53" w:rsidRPr="00790C02" w:rsidRDefault="00B71D53" w:rsidP="00B71D53">
      <w:pPr>
        <w:ind w:left="210" w:hangingChars="100" w:hanging="210"/>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(6)　個人情報の保護</w:t>
      </w:r>
    </w:p>
    <w:p w14:paraId="59B99780" w14:textId="77777777" w:rsidR="00B71D53" w:rsidRPr="00790C02" w:rsidRDefault="00B71D53" w:rsidP="00B71D53">
      <w:pPr>
        <w:ind w:leftChars="67" w:left="565" w:hangingChars="202" w:hanging="424"/>
        <w:rPr>
          <w:rFonts w:ascii="ＭＳ 明朝" w:eastAsia="ＭＳ 明朝" w:hAnsi="ＭＳ 明朝" w:cs="Times New Roman"/>
          <w:color w:val="000000" w:themeColor="text1"/>
          <w:szCs w:val="21"/>
        </w:rPr>
      </w:pPr>
      <w:r w:rsidRPr="00790C02">
        <w:rPr>
          <w:rFonts w:ascii="ＭＳ 明朝" w:eastAsia="ＭＳ 明朝" w:hAnsi="ＭＳ 明朝" w:cs="Times New Roman" w:hint="eastAsia"/>
          <w:color w:val="000000" w:themeColor="text1"/>
          <w:szCs w:val="21"/>
        </w:rPr>
        <w:t xml:space="preserve">　　　受託者は、本業務を履行する上で個人情報を取り扱う場合は、個人情報保護条例（平成13　　年３月30日岩手県条例第７号）を遵守しなければならない。</w:t>
      </w:r>
    </w:p>
    <w:p w14:paraId="3FF5E8BC" w14:textId="77777777" w:rsidR="00B71D53" w:rsidRPr="00790C02" w:rsidRDefault="00B71D53" w:rsidP="00B71D53">
      <w:pPr>
        <w:ind w:leftChars="100" w:left="420" w:hangingChars="100" w:hanging="210"/>
        <w:rPr>
          <w:rFonts w:ascii="ＭＳ 明朝" w:eastAsia="ＭＳ 明朝" w:hAnsi="ＭＳ 明朝" w:cs="Times New Roman"/>
          <w:color w:val="000000" w:themeColor="text1"/>
          <w:szCs w:val="21"/>
        </w:rPr>
      </w:pPr>
    </w:p>
    <w:p w14:paraId="57EE48F7" w14:textId="77777777" w:rsidR="00B71D53" w:rsidRPr="00790C02" w:rsidRDefault="00B71D53" w:rsidP="00B71D53">
      <w:pPr>
        <w:ind w:leftChars="-17" w:left="105" w:hangingChars="67" w:hanging="141"/>
        <w:rPr>
          <w:rFonts w:ascii="Century" w:eastAsia="ＭＳ 明朝" w:hAnsi="Century" w:cs="Times New Roman"/>
          <w:color w:val="000000" w:themeColor="text1"/>
          <w:szCs w:val="21"/>
        </w:rPr>
      </w:pPr>
      <w:r w:rsidRPr="00790C02">
        <w:rPr>
          <w:rFonts w:ascii="ＭＳ 明朝" w:eastAsia="ＭＳ 明朝" w:hAnsi="ＭＳ 明朝" w:cs="ＭＳ 明朝" w:hint="eastAsia"/>
          <w:color w:val="000000" w:themeColor="text1"/>
          <w:szCs w:val="21"/>
        </w:rPr>
        <w:t xml:space="preserve">　(</w:t>
      </w:r>
      <w:r w:rsidRPr="00790C02">
        <w:rPr>
          <w:rFonts w:ascii="ＭＳ 明朝" w:eastAsia="ＭＳ 明朝" w:hAnsi="ＭＳ 明朝" w:cs="ＭＳ 明朝"/>
          <w:color w:val="000000" w:themeColor="text1"/>
          <w:szCs w:val="21"/>
        </w:rPr>
        <w:t>7</w:t>
      </w:r>
      <w:r w:rsidRPr="00790C02">
        <w:rPr>
          <w:rFonts w:ascii="ＭＳ 明朝" w:eastAsia="ＭＳ 明朝" w:hAnsi="ＭＳ 明朝" w:cs="ＭＳ 明朝" w:hint="eastAsia"/>
          <w:color w:val="000000" w:themeColor="text1"/>
          <w:szCs w:val="21"/>
        </w:rPr>
        <w:t xml:space="preserve">)　</w:t>
      </w:r>
      <w:r w:rsidRPr="00790C02">
        <w:rPr>
          <w:rFonts w:ascii="Century" w:eastAsia="ＭＳ 明朝" w:hAnsi="Century" w:cs="Times New Roman"/>
          <w:color w:val="000000" w:themeColor="text1"/>
          <w:szCs w:val="21"/>
        </w:rPr>
        <w:t>帳簿書類</w:t>
      </w:r>
    </w:p>
    <w:p w14:paraId="6B720F4F" w14:textId="77777777" w:rsidR="00B71D53" w:rsidRPr="00790C02" w:rsidRDefault="00B71D53" w:rsidP="00B71D53">
      <w:pPr>
        <w:ind w:leftChars="117" w:left="246"/>
        <w:rPr>
          <w:rFonts w:ascii="Century" w:eastAsia="ＭＳ 明朝" w:hAnsi="Century" w:cs="Times New Roman"/>
          <w:color w:val="000000" w:themeColor="text1"/>
          <w:szCs w:val="21"/>
        </w:rPr>
      </w:pPr>
      <w:r w:rsidRPr="00790C02">
        <w:rPr>
          <w:rFonts w:ascii="Century" w:eastAsia="ＭＳ 明朝" w:hAnsi="Century" w:cs="Times New Roman" w:hint="eastAsia"/>
          <w:color w:val="000000" w:themeColor="text1"/>
          <w:szCs w:val="21"/>
        </w:rPr>
        <w:t xml:space="preserve">　　</w:t>
      </w:r>
      <w:r w:rsidRPr="00790C02">
        <w:rPr>
          <w:rFonts w:ascii="Century" w:eastAsia="ＭＳ 明朝" w:hAnsi="Century" w:cs="Times New Roman"/>
          <w:color w:val="000000" w:themeColor="text1"/>
          <w:szCs w:val="21"/>
        </w:rPr>
        <w:t>受託者として作成した帳簿書類は、その帳簿閉鎖の時から５年間保存すること。</w:t>
      </w:r>
    </w:p>
    <w:p w14:paraId="11C232E7" w14:textId="77777777" w:rsidR="00B71D53" w:rsidRPr="00790C02" w:rsidRDefault="00B71D53" w:rsidP="00B71D53">
      <w:pPr>
        <w:ind w:leftChars="117" w:left="246" w:firstLineChars="200" w:firstLine="420"/>
        <w:rPr>
          <w:rFonts w:ascii="Century" w:eastAsia="ＭＳ 明朝" w:hAnsi="Century" w:cs="Times New Roman"/>
          <w:color w:val="000000" w:themeColor="text1"/>
          <w:szCs w:val="21"/>
        </w:rPr>
      </w:pPr>
    </w:p>
    <w:p w14:paraId="62277C4B" w14:textId="77777777" w:rsidR="00B71D53" w:rsidRPr="009A1A2D" w:rsidRDefault="00B71D53" w:rsidP="009A1A2D">
      <w:pPr>
        <w:ind w:leftChars="-17" w:left="105" w:hangingChars="67" w:hanging="141"/>
        <w:rPr>
          <w:rFonts w:ascii="ＭＳ 明朝" w:eastAsia="ＭＳ 明朝" w:hAnsi="ＭＳ 明朝" w:cs="ＭＳ 明朝"/>
          <w:color w:val="000000" w:themeColor="text1"/>
          <w:szCs w:val="21"/>
        </w:rPr>
      </w:pPr>
      <w:r w:rsidRPr="00790C02">
        <w:rPr>
          <w:rFonts w:ascii="ＭＳ 明朝" w:eastAsia="ＭＳ 明朝" w:hAnsi="ＭＳ 明朝" w:cs="ＭＳ 明朝" w:hint="eastAsia"/>
          <w:color w:val="000000" w:themeColor="text1"/>
          <w:szCs w:val="21"/>
        </w:rPr>
        <w:t xml:space="preserve">　(</w:t>
      </w:r>
      <w:r w:rsidRPr="00790C02">
        <w:rPr>
          <w:rFonts w:ascii="ＭＳ 明朝" w:eastAsia="ＭＳ 明朝" w:hAnsi="ＭＳ 明朝" w:cs="ＭＳ 明朝"/>
          <w:color w:val="000000" w:themeColor="text1"/>
          <w:szCs w:val="21"/>
        </w:rPr>
        <w:t>8</w:t>
      </w:r>
      <w:r w:rsidRPr="00790C02">
        <w:rPr>
          <w:rFonts w:ascii="ＭＳ 明朝" w:eastAsia="ＭＳ 明朝" w:hAnsi="ＭＳ 明朝" w:cs="ＭＳ 明朝" w:hint="eastAsia"/>
          <w:color w:val="000000" w:themeColor="text1"/>
          <w:szCs w:val="21"/>
        </w:rPr>
        <w:t xml:space="preserve">)　</w:t>
      </w:r>
      <w:r w:rsidRPr="009A1A2D">
        <w:rPr>
          <w:rFonts w:ascii="ＭＳ 明朝" w:eastAsia="ＭＳ 明朝" w:hAnsi="ＭＳ 明朝" w:cs="ＭＳ 明朝"/>
          <w:color w:val="000000" w:themeColor="text1"/>
          <w:szCs w:val="21"/>
        </w:rPr>
        <w:t>委託金額の積算</w:t>
      </w:r>
    </w:p>
    <w:p w14:paraId="1FD821D0" w14:textId="77777777" w:rsidR="00B71D53" w:rsidRPr="00790C02" w:rsidRDefault="00B71D53" w:rsidP="00B71D53">
      <w:pPr>
        <w:ind w:leftChars="270" w:left="567" w:firstLineChars="66" w:firstLine="139"/>
        <w:rPr>
          <w:rFonts w:ascii="Century" w:eastAsia="ＭＳ 明朝" w:hAnsi="Century" w:cs="Times New Roman"/>
          <w:color w:val="000000" w:themeColor="text1"/>
          <w:szCs w:val="21"/>
        </w:rPr>
      </w:pPr>
      <w:r w:rsidRPr="00790C02">
        <w:rPr>
          <w:rFonts w:ascii="Century" w:eastAsia="ＭＳ 明朝" w:hAnsi="Century" w:cs="Times New Roman"/>
          <w:color w:val="000000" w:themeColor="text1"/>
          <w:szCs w:val="21"/>
        </w:rPr>
        <w:t>当該委託事業に要した経費の実績額が委託金額を下回る場合は、当該金額をもって委託金額</w:t>
      </w:r>
      <w:r w:rsidRPr="00790C02">
        <w:rPr>
          <w:rFonts w:ascii="Century" w:eastAsia="ＭＳ 明朝" w:hAnsi="Century" w:cs="Times New Roman" w:hint="eastAsia"/>
          <w:color w:val="000000" w:themeColor="text1"/>
          <w:szCs w:val="21"/>
        </w:rPr>
        <w:t>と</w:t>
      </w:r>
      <w:r w:rsidRPr="00790C02">
        <w:rPr>
          <w:rFonts w:ascii="Century" w:eastAsia="ＭＳ 明朝" w:hAnsi="Century" w:cs="Times New Roman"/>
          <w:color w:val="000000" w:themeColor="text1"/>
          <w:szCs w:val="21"/>
        </w:rPr>
        <w:t>すること。</w:t>
      </w:r>
      <w:r w:rsidRPr="00790C02">
        <w:rPr>
          <w:rFonts w:ascii="Century" w:eastAsia="ＭＳ 明朝" w:hAnsi="Century" w:cs="Times New Roman"/>
          <w:color w:val="000000" w:themeColor="text1"/>
          <w:szCs w:val="21"/>
        </w:rPr>
        <w:t xml:space="preserve"> </w:t>
      </w:r>
    </w:p>
    <w:p w14:paraId="4195F6DD" w14:textId="77777777" w:rsidR="00B71D53" w:rsidRPr="00790C02" w:rsidRDefault="00B71D53" w:rsidP="00B71D53">
      <w:pPr>
        <w:ind w:leftChars="-17" w:left="105" w:hangingChars="67" w:hanging="141"/>
        <w:rPr>
          <w:rFonts w:ascii="Century" w:eastAsia="ＭＳ 明朝" w:hAnsi="Century" w:cs="Times New Roman"/>
          <w:color w:val="000000" w:themeColor="text1"/>
          <w:szCs w:val="21"/>
        </w:rPr>
      </w:pPr>
    </w:p>
    <w:p w14:paraId="312C4F02" w14:textId="77777777" w:rsidR="00B71D53" w:rsidRPr="00790C02" w:rsidRDefault="00B71D53" w:rsidP="00B71D53">
      <w:pPr>
        <w:ind w:leftChars="-17" w:left="105" w:hangingChars="67" w:hanging="141"/>
        <w:rPr>
          <w:rFonts w:ascii="Century" w:eastAsia="ＭＳ 明朝" w:hAnsi="Century" w:cs="Times New Roman"/>
          <w:color w:val="000000" w:themeColor="text1"/>
          <w:szCs w:val="21"/>
        </w:rPr>
      </w:pPr>
      <w:r w:rsidRPr="00790C02">
        <w:rPr>
          <w:rFonts w:ascii="ＭＳ 明朝" w:eastAsia="ＭＳ 明朝" w:hAnsi="ＭＳ 明朝" w:cs="ＭＳ 明朝" w:hint="eastAsia"/>
          <w:color w:val="000000" w:themeColor="text1"/>
          <w:szCs w:val="21"/>
        </w:rPr>
        <w:t xml:space="preserve">　(</w:t>
      </w:r>
      <w:r w:rsidRPr="00790C02">
        <w:rPr>
          <w:rFonts w:ascii="ＭＳ 明朝" w:eastAsia="ＭＳ 明朝" w:hAnsi="ＭＳ 明朝" w:cs="ＭＳ 明朝"/>
          <w:color w:val="000000" w:themeColor="text1"/>
          <w:szCs w:val="21"/>
        </w:rPr>
        <w:t>9)</w:t>
      </w:r>
      <w:r w:rsidRPr="00790C02">
        <w:rPr>
          <w:rFonts w:ascii="ＭＳ 明朝" w:eastAsia="ＭＳ 明朝" w:hAnsi="ＭＳ 明朝" w:cs="ＭＳ 明朝" w:hint="eastAsia"/>
          <w:color w:val="000000" w:themeColor="text1"/>
          <w:szCs w:val="21"/>
        </w:rPr>
        <w:t xml:space="preserve">　</w:t>
      </w:r>
      <w:r w:rsidRPr="00790C02">
        <w:rPr>
          <w:rFonts w:ascii="Century" w:eastAsia="ＭＳ 明朝" w:hAnsi="Century" w:cs="Times New Roman"/>
          <w:color w:val="000000" w:themeColor="text1"/>
          <w:szCs w:val="21"/>
        </w:rPr>
        <w:t>その他</w:t>
      </w:r>
      <w:r w:rsidRPr="00790C02">
        <w:rPr>
          <w:rFonts w:ascii="Century" w:eastAsia="ＭＳ 明朝" w:hAnsi="Century" w:cs="Times New Roman"/>
          <w:color w:val="000000" w:themeColor="text1"/>
          <w:szCs w:val="21"/>
        </w:rPr>
        <w:t xml:space="preserve"> </w:t>
      </w:r>
    </w:p>
    <w:p w14:paraId="0BDFC796" w14:textId="77777777" w:rsidR="00B71D53" w:rsidRPr="00790C02" w:rsidRDefault="00B71D53" w:rsidP="00B71D53">
      <w:pPr>
        <w:kinsoku w:val="0"/>
        <w:overflowPunct w:val="0"/>
        <w:autoSpaceDE w:val="0"/>
        <w:autoSpaceDN w:val="0"/>
        <w:adjustRightInd w:val="0"/>
        <w:ind w:leftChars="208" w:left="437" w:rightChars="30" w:right="63" w:firstLineChars="100" w:firstLine="210"/>
        <w:rPr>
          <w:rFonts w:ascii="Century" w:eastAsia="ＭＳ 明朝" w:hAnsi="Century" w:cs="Times New Roman"/>
          <w:color w:val="000000" w:themeColor="text1"/>
          <w:szCs w:val="21"/>
        </w:rPr>
      </w:pPr>
      <w:r w:rsidRPr="00790C02">
        <w:rPr>
          <w:rFonts w:ascii="Century" w:eastAsia="ＭＳ 明朝" w:hAnsi="Century" w:cs="Times New Roman"/>
          <w:color w:val="000000" w:themeColor="text1"/>
          <w:szCs w:val="21"/>
        </w:rPr>
        <w:t>本業務の実施に当たり、本仕様書に記載のない事項又は疑義が発生した場合は、速やかに県と協議を行うもの。</w:t>
      </w:r>
    </w:p>
    <w:p w14:paraId="47F36957" w14:textId="77777777" w:rsidR="001535D8" w:rsidRPr="00790C02" w:rsidRDefault="001535D8">
      <w:pPr>
        <w:rPr>
          <w:color w:val="000000" w:themeColor="text1"/>
        </w:rPr>
      </w:pPr>
    </w:p>
    <w:p w14:paraId="601CFCAE" w14:textId="77777777" w:rsidR="00F33C92" w:rsidRPr="00790C02" w:rsidRDefault="00F33C92" w:rsidP="001535D8">
      <w:pPr>
        <w:rPr>
          <w:rFonts w:ascii="ＭＳ ゴシック" w:eastAsia="ＭＳ ゴシック" w:hAnsi="ＭＳ ゴシック"/>
          <w:color w:val="000000" w:themeColor="text1"/>
          <w:sz w:val="22"/>
        </w:rPr>
        <w:sectPr w:rsidR="00F33C92" w:rsidRPr="00790C02" w:rsidSect="009C5B6C">
          <w:footerReference w:type="default" r:id="rId7"/>
          <w:pgSz w:w="11906" w:h="16838"/>
          <w:pgMar w:top="1701" w:right="1418" w:bottom="1701" w:left="1418" w:header="851" w:footer="567" w:gutter="0"/>
          <w:cols w:space="425"/>
          <w:docGrid w:type="linesAndChars" w:linePitch="360"/>
        </w:sectPr>
      </w:pPr>
    </w:p>
    <w:p w14:paraId="53168364" w14:textId="77777777" w:rsidR="001535D8" w:rsidRPr="00790C02" w:rsidRDefault="001535D8" w:rsidP="001535D8">
      <w:pPr>
        <w:rPr>
          <w:rFonts w:ascii="ＭＳ ゴシック" w:eastAsia="ＭＳ ゴシック" w:hAnsi="ＭＳ ゴシック"/>
          <w:color w:val="000000" w:themeColor="text1"/>
          <w:sz w:val="22"/>
        </w:rPr>
      </w:pPr>
      <w:r w:rsidRPr="00790C02">
        <w:rPr>
          <w:rFonts w:ascii="ＭＳ ゴシック" w:eastAsia="ＭＳ ゴシック" w:hAnsi="ＭＳ ゴシック" w:hint="eastAsia"/>
          <w:color w:val="000000" w:themeColor="text1"/>
          <w:sz w:val="22"/>
        </w:rPr>
        <w:t>【別紙様式】</w:t>
      </w:r>
    </w:p>
    <w:p w14:paraId="21BB678D" w14:textId="77777777" w:rsidR="001535D8" w:rsidRPr="00790C02" w:rsidRDefault="001535D8" w:rsidP="001535D8">
      <w:pPr>
        <w:jc w:val="center"/>
        <w:rPr>
          <w:rFonts w:ascii="ＭＳ ゴシック" w:eastAsia="ＭＳ ゴシック" w:hAnsi="ＭＳ ゴシック"/>
          <w:b/>
          <w:bCs/>
          <w:color w:val="000000" w:themeColor="text1"/>
          <w:sz w:val="24"/>
        </w:rPr>
      </w:pPr>
      <w:r w:rsidRPr="00790C02">
        <w:rPr>
          <w:rFonts w:ascii="ＭＳ ゴシック" w:eastAsia="ＭＳ ゴシック" w:hAnsi="ＭＳ ゴシック" w:hint="eastAsia"/>
          <w:b/>
          <w:bCs/>
          <w:color w:val="000000" w:themeColor="text1"/>
          <w:spacing w:val="238"/>
          <w:kern w:val="0"/>
          <w:sz w:val="24"/>
          <w:fitText w:val="4540" w:id="-1036285184"/>
        </w:rPr>
        <w:t>業務の監理体</w:t>
      </w:r>
      <w:r w:rsidRPr="00790C02">
        <w:rPr>
          <w:rFonts w:ascii="ＭＳ ゴシック" w:eastAsia="ＭＳ ゴシック" w:hAnsi="ＭＳ ゴシック" w:hint="eastAsia"/>
          <w:b/>
          <w:bCs/>
          <w:color w:val="000000" w:themeColor="text1"/>
          <w:spacing w:val="-1"/>
          <w:kern w:val="0"/>
          <w:sz w:val="24"/>
          <w:fitText w:val="4540" w:id="-1036285184"/>
        </w:rPr>
        <w:t>制</w:t>
      </w:r>
    </w:p>
    <w:tbl>
      <w:tblPr>
        <w:tblW w:w="14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1843"/>
        <w:gridCol w:w="1255"/>
        <w:gridCol w:w="2147"/>
        <w:gridCol w:w="1272"/>
        <w:gridCol w:w="708"/>
        <w:gridCol w:w="4870"/>
      </w:tblGrid>
      <w:tr w:rsidR="00790C02" w:rsidRPr="00790C02" w14:paraId="66D588C5" w14:textId="77777777" w:rsidTr="006B73DC">
        <w:trPr>
          <w:trHeight w:val="1073"/>
          <w:jc w:val="center"/>
        </w:trPr>
        <w:tc>
          <w:tcPr>
            <w:tcW w:w="2064" w:type="dxa"/>
            <w:tcBorders>
              <w:bottom w:val="single" w:sz="4" w:space="0" w:color="auto"/>
            </w:tcBorders>
            <w:shd w:val="clear" w:color="auto" w:fill="D9D9D9"/>
            <w:vAlign w:val="center"/>
          </w:tcPr>
          <w:p w14:paraId="2D8045FE" w14:textId="77777777" w:rsidR="001535D8" w:rsidRPr="00790C02" w:rsidRDefault="001535D8" w:rsidP="006B73DC">
            <w:pPr>
              <w:pStyle w:val="a3"/>
              <w:jc w:val="center"/>
              <w:rPr>
                <w:rFonts w:ascii="ＭＳ ゴシック" w:eastAsia="ＭＳ ゴシック" w:hAnsi="ＭＳ ゴシック"/>
                <w:color w:val="000000" w:themeColor="text1"/>
                <w:szCs w:val="21"/>
              </w:rPr>
            </w:pPr>
            <w:r w:rsidRPr="00790C02">
              <w:rPr>
                <w:rFonts w:ascii="ＭＳ ゴシック" w:eastAsia="ＭＳ ゴシック" w:hAnsi="ＭＳ ゴシック" w:hint="eastAsia"/>
                <w:color w:val="000000" w:themeColor="text1"/>
                <w:szCs w:val="21"/>
              </w:rPr>
              <w:t>業務(分担)名</w:t>
            </w:r>
          </w:p>
        </w:tc>
        <w:tc>
          <w:tcPr>
            <w:tcW w:w="1843" w:type="dxa"/>
            <w:tcBorders>
              <w:bottom w:val="single" w:sz="4" w:space="0" w:color="auto"/>
            </w:tcBorders>
            <w:shd w:val="clear" w:color="auto" w:fill="D9D9D9"/>
            <w:vAlign w:val="center"/>
          </w:tcPr>
          <w:p w14:paraId="2D09FCD6" w14:textId="77777777" w:rsidR="001535D8" w:rsidRPr="00790C02" w:rsidRDefault="001535D8" w:rsidP="006B73DC">
            <w:pPr>
              <w:pStyle w:val="a3"/>
              <w:jc w:val="center"/>
              <w:rPr>
                <w:rFonts w:ascii="ＭＳ ゴシック" w:eastAsia="ＭＳ ゴシック" w:hAnsi="ＭＳ ゴシック"/>
                <w:color w:val="000000" w:themeColor="text1"/>
                <w:szCs w:val="21"/>
              </w:rPr>
            </w:pPr>
            <w:r w:rsidRPr="00790C02">
              <w:rPr>
                <w:rFonts w:ascii="ＭＳ ゴシック" w:eastAsia="ＭＳ ゴシック" w:hAnsi="ＭＳ ゴシック" w:hint="eastAsia"/>
                <w:color w:val="000000" w:themeColor="text1"/>
                <w:szCs w:val="21"/>
              </w:rPr>
              <w:t>会社名等</w:t>
            </w:r>
          </w:p>
        </w:tc>
        <w:tc>
          <w:tcPr>
            <w:tcW w:w="1255" w:type="dxa"/>
            <w:tcBorders>
              <w:bottom w:val="single" w:sz="4" w:space="0" w:color="auto"/>
            </w:tcBorders>
            <w:shd w:val="clear" w:color="auto" w:fill="D9D9D9"/>
            <w:vAlign w:val="center"/>
          </w:tcPr>
          <w:p w14:paraId="7335763B" w14:textId="77777777" w:rsidR="001535D8" w:rsidRPr="00790C02" w:rsidRDefault="001535D8" w:rsidP="006B73DC">
            <w:pPr>
              <w:jc w:val="center"/>
              <w:rPr>
                <w:rFonts w:ascii="ＭＳ ゴシック" w:eastAsia="ＭＳ ゴシック" w:hAnsi="ＭＳ ゴシック"/>
                <w:color w:val="000000" w:themeColor="text1"/>
              </w:rPr>
            </w:pPr>
            <w:r w:rsidRPr="00790C02">
              <w:rPr>
                <w:rFonts w:ascii="ＭＳ ゴシック" w:eastAsia="ＭＳ ゴシック" w:hAnsi="ＭＳ ゴシック" w:hint="eastAsia"/>
                <w:color w:val="000000" w:themeColor="text1"/>
              </w:rPr>
              <w:t>担当者名</w:t>
            </w:r>
          </w:p>
        </w:tc>
        <w:tc>
          <w:tcPr>
            <w:tcW w:w="2147" w:type="dxa"/>
            <w:tcBorders>
              <w:bottom w:val="single" w:sz="4" w:space="0" w:color="auto"/>
            </w:tcBorders>
            <w:shd w:val="clear" w:color="auto" w:fill="D9D9D9"/>
            <w:vAlign w:val="center"/>
          </w:tcPr>
          <w:p w14:paraId="6505A320" w14:textId="77777777" w:rsidR="001535D8" w:rsidRPr="00790C02" w:rsidRDefault="001535D8" w:rsidP="006B73DC">
            <w:pPr>
              <w:jc w:val="center"/>
              <w:rPr>
                <w:rFonts w:ascii="ＭＳ ゴシック" w:eastAsia="ＭＳ ゴシック" w:hAnsi="ＭＳ ゴシック"/>
                <w:color w:val="000000" w:themeColor="text1"/>
              </w:rPr>
            </w:pPr>
            <w:r w:rsidRPr="00790C02">
              <w:rPr>
                <w:rFonts w:ascii="ＭＳ ゴシック" w:eastAsia="ＭＳ ゴシック" w:hAnsi="ＭＳ ゴシック" w:hint="eastAsia"/>
                <w:color w:val="000000" w:themeColor="text1"/>
              </w:rPr>
              <w:t>勤務地</w:t>
            </w:r>
          </w:p>
        </w:tc>
        <w:tc>
          <w:tcPr>
            <w:tcW w:w="1272" w:type="dxa"/>
            <w:tcBorders>
              <w:bottom w:val="single" w:sz="4" w:space="0" w:color="auto"/>
            </w:tcBorders>
            <w:shd w:val="clear" w:color="auto" w:fill="D9D9D9"/>
            <w:vAlign w:val="center"/>
          </w:tcPr>
          <w:p w14:paraId="244FFFD5" w14:textId="77777777" w:rsidR="001535D8" w:rsidRPr="00790C02" w:rsidRDefault="001535D8" w:rsidP="006B73DC">
            <w:pPr>
              <w:jc w:val="center"/>
              <w:rPr>
                <w:rFonts w:ascii="ＭＳ ゴシック" w:eastAsia="ＭＳ ゴシック" w:hAnsi="ＭＳ ゴシック"/>
                <w:color w:val="000000" w:themeColor="text1"/>
              </w:rPr>
            </w:pPr>
            <w:r w:rsidRPr="00790C02">
              <w:rPr>
                <w:rFonts w:ascii="ＭＳ ゴシック" w:eastAsia="ＭＳ ゴシック" w:hAnsi="ＭＳ ゴシック" w:hint="eastAsia"/>
                <w:color w:val="000000" w:themeColor="text1"/>
              </w:rPr>
              <w:t>専任・兼任</w:t>
            </w:r>
          </w:p>
          <w:p w14:paraId="2C1655DD" w14:textId="77777777" w:rsidR="001535D8" w:rsidRPr="00790C02" w:rsidRDefault="001535D8" w:rsidP="006B73DC">
            <w:pPr>
              <w:jc w:val="center"/>
              <w:rPr>
                <w:rFonts w:ascii="ＭＳ ゴシック" w:eastAsia="ＭＳ ゴシック" w:hAnsi="ＭＳ ゴシック"/>
                <w:color w:val="000000" w:themeColor="text1"/>
              </w:rPr>
            </w:pPr>
            <w:r w:rsidRPr="00790C02">
              <w:rPr>
                <w:rFonts w:ascii="ＭＳ ゴシック" w:eastAsia="ＭＳ ゴシック" w:hAnsi="ＭＳ ゴシック" w:hint="eastAsia"/>
                <w:color w:val="000000" w:themeColor="text1"/>
              </w:rPr>
              <w:t>の別</w:t>
            </w:r>
          </w:p>
        </w:tc>
        <w:tc>
          <w:tcPr>
            <w:tcW w:w="708" w:type="dxa"/>
            <w:tcBorders>
              <w:bottom w:val="single" w:sz="4" w:space="0" w:color="auto"/>
            </w:tcBorders>
            <w:shd w:val="clear" w:color="auto" w:fill="D9D9D9"/>
            <w:vAlign w:val="center"/>
          </w:tcPr>
          <w:p w14:paraId="6FE8BDB3" w14:textId="77777777" w:rsidR="001535D8" w:rsidRPr="00790C02" w:rsidRDefault="001535D8" w:rsidP="006B73DC">
            <w:pPr>
              <w:jc w:val="center"/>
              <w:rPr>
                <w:rFonts w:ascii="ＭＳ ゴシック" w:eastAsia="ＭＳ ゴシック" w:hAnsi="ＭＳ ゴシック"/>
                <w:color w:val="000000" w:themeColor="text1"/>
              </w:rPr>
            </w:pPr>
            <w:r w:rsidRPr="00790C02">
              <w:rPr>
                <w:rFonts w:ascii="ＭＳ ゴシック" w:eastAsia="ＭＳ ゴシック" w:hAnsi="ＭＳ ゴシック" w:hint="eastAsia"/>
                <w:color w:val="000000" w:themeColor="text1"/>
              </w:rPr>
              <w:t>業務</w:t>
            </w:r>
          </w:p>
          <w:p w14:paraId="4EC261A1" w14:textId="77777777" w:rsidR="001535D8" w:rsidRPr="00790C02" w:rsidRDefault="001535D8" w:rsidP="006B73DC">
            <w:pPr>
              <w:jc w:val="center"/>
              <w:rPr>
                <w:rFonts w:ascii="ＭＳ ゴシック" w:eastAsia="ＭＳ ゴシック" w:hAnsi="ＭＳ ゴシック"/>
                <w:color w:val="000000" w:themeColor="text1"/>
              </w:rPr>
            </w:pPr>
            <w:r w:rsidRPr="00790C02">
              <w:rPr>
                <w:rFonts w:ascii="ＭＳ ゴシック" w:eastAsia="ＭＳ ゴシック" w:hAnsi="ＭＳ ゴシック" w:hint="eastAsia"/>
                <w:color w:val="000000" w:themeColor="text1"/>
              </w:rPr>
              <w:t>経験</w:t>
            </w:r>
          </w:p>
          <w:p w14:paraId="12284305" w14:textId="77777777" w:rsidR="001535D8" w:rsidRPr="00790C02" w:rsidRDefault="001535D8" w:rsidP="006B73DC">
            <w:pPr>
              <w:jc w:val="center"/>
              <w:rPr>
                <w:rFonts w:ascii="ＭＳ ゴシック" w:eastAsia="ＭＳ ゴシック" w:hAnsi="ＭＳ ゴシック"/>
                <w:color w:val="000000" w:themeColor="text1"/>
              </w:rPr>
            </w:pPr>
            <w:r w:rsidRPr="00790C02">
              <w:rPr>
                <w:rFonts w:ascii="ＭＳ ゴシック" w:eastAsia="ＭＳ ゴシック" w:hAnsi="ＭＳ ゴシック" w:hint="eastAsia"/>
                <w:color w:val="000000" w:themeColor="text1"/>
              </w:rPr>
              <w:t>年数</w:t>
            </w:r>
          </w:p>
        </w:tc>
        <w:tc>
          <w:tcPr>
            <w:tcW w:w="4870" w:type="dxa"/>
            <w:tcBorders>
              <w:bottom w:val="single" w:sz="4" w:space="0" w:color="auto"/>
            </w:tcBorders>
            <w:shd w:val="clear" w:color="auto" w:fill="D9D9D9"/>
            <w:vAlign w:val="center"/>
          </w:tcPr>
          <w:p w14:paraId="2D9FCF04" w14:textId="77777777" w:rsidR="001535D8" w:rsidRPr="00790C02" w:rsidRDefault="001535D8" w:rsidP="006B73DC">
            <w:pPr>
              <w:pStyle w:val="a3"/>
              <w:rPr>
                <w:rFonts w:ascii="ＭＳ ゴシック" w:eastAsia="ＭＳ ゴシック" w:hAnsi="ＭＳ ゴシック"/>
                <w:color w:val="000000" w:themeColor="text1"/>
                <w:szCs w:val="21"/>
              </w:rPr>
            </w:pPr>
            <w:r w:rsidRPr="00790C02">
              <w:rPr>
                <w:rFonts w:ascii="ＭＳ ゴシック" w:eastAsia="ＭＳ ゴシック" w:hAnsi="ＭＳ ゴシック" w:hint="eastAsia"/>
                <w:color w:val="000000" w:themeColor="text1"/>
                <w:szCs w:val="21"/>
              </w:rPr>
              <w:t>過去の実績(過去に業務実績のある事業名等を記入のこと。)</w:t>
            </w:r>
          </w:p>
        </w:tc>
      </w:tr>
      <w:tr w:rsidR="00790C02" w:rsidRPr="00790C02" w14:paraId="7273162F" w14:textId="77777777" w:rsidTr="006B73DC">
        <w:trPr>
          <w:trHeight w:val="875"/>
          <w:jc w:val="center"/>
        </w:trPr>
        <w:tc>
          <w:tcPr>
            <w:tcW w:w="2064" w:type="dxa"/>
            <w:tcBorders>
              <w:bottom w:val="double" w:sz="4" w:space="0" w:color="auto"/>
            </w:tcBorders>
            <w:vAlign w:val="center"/>
          </w:tcPr>
          <w:p w14:paraId="28ECCFE0" w14:textId="77777777" w:rsidR="001535D8" w:rsidRPr="00790C02" w:rsidRDefault="001535D8" w:rsidP="006B73DC">
            <w:pPr>
              <w:jc w:val="cente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（例）</w:t>
            </w:r>
          </w:p>
          <w:p w14:paraId="1FEF83D7" w14:textId="65D791D0" w:rsidR="001535D8" w:rsidRPr="00790C02" w:rsidRDefault="00EF1F48" w:rsidP="006B73DC">
            <w:pP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ＰＲ</w:t>
            </w:r>
            <w:r w:rsidR="001535D8" w:rsidRPr="00790C02">
              <w:rPr>
                <w:rFonts w:ascii="ＭＳ 明朝" w:eastAsia="ＭＳ 明朝" w:hAnsi="ＭＳ 明朝" w:hint="eastAsia"/>
                <w:color w:val="000000" w:themeColor="text1"/>
                <w:sz w:val="16"/>
                <w:szCs w:val="16"/>
              </w:rPr>
              <w:t>コンテンツ制作業務（○○制作）　責任者</w:t>
            </w:r>
          </w:p>
        </w:tc>
        <w:tc>
          <w:tcPr>
            <w:tcW w:w="1843" w:type="dxa"/>
            <w:tcBorders>
              <w:bottom w:val="double" w:sz="4" w:space="0" w:color="auto"/>
            </w:tcBorders>
            <w:vAlign w:val="center"/>
          </w:tcPr>
          <w:p w14:paraId="42A1A32D" w14:textId="751413CA" w:rsidR="001535D8" w:rsidRPr="00790C02" w:rsidRDefault="001535D8" w:rsidP="006B73DC">
            <w:pP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株式会社東北</w:t>
            </w:r>
            <w:r w:rsidR="00653616" w:rsidRPr="00790C02">
              <w:rPr>
                <w:rFonts w:ascii="ＭＳ 明朝" w:eastAsia="ＭＳ 明朝" w:hAnsi="ＭＳ 明朝" w:hint="eastAsia"/>
                <w:color w:val="000000" w:themeColor="text1"/>
                <w:sz w:val="16"/>
                <w:szCs w:val="16"/>
              </w:rPr>
              <w:t>ＩＬＣ</w:t>
            </w:r>
          </w:p>
        </w:tc>
        <w:tc>
          <w:tcPr>
            <w:tcW w:w="1255" w:type="dxa"/>
            <w:tcBorders>
              <w:bottom w:val="double" w:sz="4" w:space="0" w:color="auto"/>
            </w:tcBorders>
            <w:vAlign w:val="center"/>
          </w:tcPr>
          <w:p w14:paraId="4DFDC78B" w14:textId="77777777" w:rsidR="001535D8" w:rsidRPr="00790C02" w:rsidRDefault="001535D8" w:rsidP="006B73DC">
            <w:pPr>
              <w:jc w:val="cente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藍得　海</w:t>
            </w:r>
          </w:p>
        </w:tc>
        <w:tc>
          <w:tcPr>
            <w:tcW w:w="2147" w:type="dxa"/>
            <w:tcBorders>
              <w:bottom w:val="double" w:sz="4" w:space="0" w:color="auto"/>
            </w:tcBorders>
            <w:vAlign w:val="center"/>
          </w:tcPr>
          <w:p w14:paraId="1BDD034E" w14:textId="77777777" w:rsidR="001535D8" w:rsidRPr="00790C02" w:rsidRDefault="001535D8" w:rsidP="006B73DC">
            <w:pP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岩手県盛岡市内丸10-1</w:t>
            </w:r>
          </w:p>
        </w:tc>
        <w:tc>
          <w:tcPr>
            <w:tcW w:w="1272" w:type="dxa"/>
            <w:tcBorders>
              <w:bottom w:val="double" w:sz="4" w:space="0" w:color="auto"/>
            </w:tcBorders>
            <w:vAlign w:val="center"/>
          </w:tcPr>
          <w:p w14:paraId="08D478B8" w14:textId="77777777" w:rsidR="001535D8" w:rsidRPr="00790C02" w:rsidRDefault="001535D8" w:rsidP="006B73DC">
            <w:pPr>
              <w:jc w:val="cente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兼任</w:t>
            </w:r>
          </w:p>
        </w:tc>
        <w:tc>
          <w:tcPr>
            <w:tcW w:w="708" w:type="dxa"/>
            <w:tcBorders>
              <w:bottom w:val="double" w:sz="4" w:space="0" w:color="auto"/>
            </w:tcBorders>
            <w:vAlign w:val="center"/>
          </w:tcPr>
          <w:p w14:paraId="5A27D2DB" w14:textId="77777777" w:rsidR="001535D8" w:rsidRPr="00790C02" w:rsidRDefault="001535D8" w:rsidP="006B73DC">
            <w:pPr>
              <w:jc w:val="cente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１５年</w:t>
            </w:r>
          </w:p>
        </w:tc>
        <w:tc>
          <w:tcPr>
            <w:tcW w:w="4870" w:type="dxa"/>
            <w:tcBorders>
              <w:bottom w:val="double" w:sz="4" w:space="0" w:color="auto"/>
            </w:tcBorders>
            <w:vAlign w:val="center"/>
          </w:tcPr>
          <w:p w14:paraId="44D0F53F" w14:textId="77777777" w:rsidR="001535D8" w:rsidRPr="00790C02" w:rsidRDefault="001535D8" w:rsidP="006B73DC">
            <w:pP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・○○○○事業（・・・・・・・・制作）</w:t>
            </w:r>
          </w:p>
          <w:p w14:paraId="1F5D5BFD" w14:textId="77777777" w:rsidR="001535D8" w:rsidRPr="00790C02" w:rsidRDefault="001535D8" w:rsidP="006B73DC">
            <w:pP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・△△△△事業（・・・・・・・・キャンペーン展開）</w:t>
            </w:r>
          </w:p>
          <w:p w14:paraId="5B9EB42D" w14:textId="77777777" w:rsidR="001535D8" w:rsidRPr="00790C02" w:rsidRDefault="001535D8" w:rsidP="006B73DC">
            <w:pPr>
              <w:rPr>
                <w:rFonts w:ascii="ＭＳ 明朝" w:eastAsia="ＭＳ 明朝" w:hAnsi="ＭＳ 明朝"/>
                <w:color w:val="000000" w:themeColor="text1"/>
                <w:sz w:val="16"/>
                <w:szCs w:val="16"/>
              </w:rPr>
            </w:pPr>
            <w:r w:rsidRPr="00790C02">
              <w:rPr>
                <w:rFonts w:ascii="ＭＳ 明朝" w:eastAsia="ＭＳ 明朝" w:hAnsi="ＭＳ 明朝" w:hint="eastAsia"/>
                <w:color w:val="000000" w:themeColor="text1"/>
                <w:sz w:val="16"/>
                <w:szCs w:val="16"/>
              </w:rPr>
              <w:t>・□□□□事業（・・・・・・・・広報業務）</w:t>
            </w:r>
          </w:p>
        </w:tc>
      </w:tr>
      <w:tr w:rsidR="00790C02" w:rsidRPr="00790C02" w14:paraId="6E207647" w14:textId="77777777" w:rsidTr="006B73DC">
        <w:trPr>
          <w:trHeight w:val="875"/>
          <w:jc w:val="center"/>
        </w:trPr>
        <w:tc>
          <w:tcPr>
            <w:tcW w:w="2064" w:type="dxa"/>
            <w:tcBorders>
              <w:top w:val="double" w:sz="4" w:space="0" w:color="auto"/>
            </w:tcBorders>
            <w:vAlign w:val="center"/>
          </w:tcPr>
          <w:p w14:paraId="4427023C" w14:textId="77777777" w:rsidR="001535D8" w:rsidRPr="00790C02" w:rsidRDefault="001535D8" w:rsidP="006B73DC">
            <w:pPr>
              <w:jc w:val="center"/>
              <w:rPr>
                <w:rFonts w:hAnsi="ＭＳ 明朝"/>
                <w:color w:val="000000" w:themeColor="text1"/>
              </w:rPr>
            </w:pPr>
          </w:p>
        </w:tc>
        <w:tc>
          <w:tcPr>
            <w:tcW w:w="1843" w:type="dxa"/>
            <w:tcBorders>
              <w:top w:val="double" w:sz="4" w:space="0" w:color="auto"/>
            </w:tcBorders>
            <w:vAlign w:val="center"/>
          </w:tcPr>
          <w:p w14:paraId="278D86B3" w14:textId="77777777" w:rsidR="001535D8" w:rsidRPr="00790C02" w:rsidRDefault="001535D8" w:rsidP="006B73DC">
            <w:pPr>
              <w:rPr>
                <w:rFonts w:hAnsi="ＭＳ 明朝"/>
                <w:color w:val="000000" w:themeColor="text1"/>
              </w:rPr>
            </w:pPr>
          </w:p>
        </w:tc>
        <w:tc>
          <w:tcPr>
            <w:tcW w:w="1255" w:type="dxa"/>
            <w:tcBorders>
              <w:top w:val="double" w:sz="4" w:space="0" w:color="auto"/>
            </w:tcBorders>
            <w:vAlign w:val="center"/>
          </w:tcPr>
          <w:p w14:paraId="7B753EC4" w14:textId="77777777" w:rsidR="001535D8" w:rsidRPr="00790C02" w:rsidRDefault="001535D8" w:rsidP="006B73DC">
            <w:pPr>
              <w:rPr>
                <w:rFonts w:hAnsi="ＭＳ 明朝"/>
                <w:color w:val="000000" w:themeColor="text1"/>
              </w:rPr>
            </w:pPr>
          </w:p>
        </w:tc>
        <w:tc>
          <w:tcPr>
            <w:tcW w:w="2147" w:type="dxa"/>
            <w:tcBorders>
              <w:top w:val="double" w:sz="4" w:space="0" w:color="auto"/>
            </w:tcBorders>
            <w:vAlign w:val="center"/>
          </w:tcPr>
          <w:p w14:paraId="5BF5D8D1" w14:textId="77777777" w:rsidR="001535D8" w:rsidRPr="00790C02" w:rsidRDefault="001535D8" w:rsidP="006B73DC">
            <w:pPr>
              <w:rPr>
                <w:rFonts w:hAnsi="ＭＳ 明朝"/>
                <w:color w:val="000000" w:themeColor="text1"/>
              </w:rPr>
            </w:pPr>
          </w:p>
        </w:tc>
        <w:tc>
          <w:tcPr>
            <w:tcW w:w="1272" w:type="dxa"/>
            <w:tcBorders>
              <w:top w:val="double" w:sz="4" w:space="0" w:color="auto"/>
            </w:tcBorders>
            <w:vAlign w:val="center"/>
          </w:tcPr>
          <w:p w14:paraId="018BAE42" w14:textId="77777777" w:rsidR="001535D8" w:rsidRPr="00790C02" w:rsidRDefault="001535D8" w:rsidP="006B73DC">
            <w:pPr>
              <w:rPr>
                <w:rFonts w:hAnsi="ＭＳ 明朝"/>
                <w:color w:val="000000" w:themeColor="text1"/>
              </w:rPr>
            </w:pPr>
          </w:p>
        </w:tc>
        <w:tc>
          <w:tcPr>
            <w:tcW w:w="708" w:type="dxa"/>
            <w:tcBorders>
              <w:top w:val="double" w:sz="4" w:space="0" w:color="auto"/>
            </w:tcBorders>
            <w:vAlign w:val="center"/>
          </w:tcPr>
          <w:p w14:paraId="66A8D5C4" w14:textId="77777777" w:rsidR="001535D8" w:rsidRPr="00790C02" w:rsidRDefault="001535D8" w:rsidP="006B73DC">
            <w:pPr>
              <w:rPr>
                <w:rFonts w:hAnsi="ＭＳ 明朝"/>
                <w:color w:val="000000" w:themeColor="text1"/>
              </w:rPr>
            </w:pPr>
          </w:p>
        </w:tc>
        <w:tc>
          <w:tcPr>
            <w:tcW w:w="4870" w:type="dxa"/>
            <w:tcBorders>
              <w:top w:val="double" w:sz="4" w:space="0" w:color="auto"/>
            </w:tcBorders>
            <w:vAlign w:val="center"/>
          </w:tcPr>
          <w:p w14:paraId="761DBE75" w14:textId="77777777" w:rsidR="001535D8" w:rsidRPr="00790C02" w:rsidRDefault="001535D8" w:rsidP="006B73DC">
            <w:pPr>
              <w:rPr>
                <w:rFonts w:hAnsi="ＭＳ 明朝"/>
                <w:color w:val="000000" w:themeColor="text1"/>
              </w:rPr>
            </w:pPr>
          </w:p>
        </w:tc>
      </w:tr>
      <w:tr w:rsidR="00790C02" w:rsidRPr="00790C02" w14:paraId="3FBC0163" w14:textId="77777777" w:rsidTr="006B73DC">
        <w:trPr>
          <w:trHeight w:val="875"/>
          <w:jc w:val="center"/>
        </w:trPr>
        <w:tc>
          <w:tcPr>
            <w:tcW w:w="2064" w:type="dxa"/>
            <w:vAlign w:val="center"/>
          </w:tcPr>
          <w:p w14:paraId="6E6671A9" w14:textId="77777777" w:rsidR="001535D8" w:rsidRPr="00790C02" w:rsidRDefault="001535D8" w:rsidP="006B73DC">
            <w:pPr>
              <w:jc w:val="center"/>
              <w:rPr>
                <w:rFonts w:hAnsi="ＭＳ 明朝"/>
                <w:color w:val="000000" w:themeColor="text1"/>
              </w:rPr>
            </w:pPr>
          </w:p>
        </w:tc>
        <w:tc>
          <w:tcPr>
            <w:tcW w:w="1843" w:type="dxa"/>
            <w:vAlign w:val="center"/>
          </w:tcPr>
          <w:p w14:paraId="6B234193" w14:textId="77777777" w:rsidR="001535D8" w:rsidRPr="00790C02" w:rsidRDefault="001535D8" w:rsidP="006B73DC">
            <w:pPr>
              <w:rPr>
                <w:rFonts w:hAnsi="ＭＳ 明朝"/>
                <w:color w:val="000000" w:themeColor="text1"/>
              </w:rPr>
            </w:pPr>
          </w:p>
        </w:tc>
        <w:tc>
          <w:tcPr>
            <w:tcW w:w="1255" w:type="dxa"/>
            <w:vAlign w:val="center"/>
          </w:tcPr>
          <w:p w14:paraId="429794DF" w14:textId="77777777" w:rsidR="001535D8" w:rsidRPr="00790C02" w:rsidRDefault="001535D8" w:rsidP="006B73DC">
            <w:pPr>
              <w:rPr>
                <w:rFonts w:hAnsi="ＭＳ 明朝"/>
                <w:color w:val="000000" w:themeColor="text1"/>
              </w:rPr>
            </w:pPr>
          </w:p>
        </w:tc>
        <w:tc>
          <w:tcPr>
            <w:tcW w:w="2147" w:type="dxa"/>
            <w:vAlign w:val="center"/>
          </w:tcPr>
          <w:p w14:paraId="4C36FB37" w14:textId="77777777" w:rsidR="001535D8" w:rsidRPr="00790C02" w:rsidRDefault="001535D8" w:rsidP="006B73DC">
            <w:pPr>
              <w:rPr>
                <w:rFonts w:hAnsi="ＭＳ 明朝"/>
                <w:color w:val="000000" w:themeColor="text1"/>
              </w:rPr>
            </w:pPr>
          </w:p>
        </w:tc>
        <w:tc>
          <w:tcPr>
            <w:tcW w:w="1272" w:type="dxa"/>
            <w:vAlign w:val="center"/>
          </w:tcPr>
          <w:p w14:paraId="74503C67" w14:textId="77777777" w:rsidR="001535D8" w:rsidRPr="00790C02" w:rsidRDefault="001535D8" w:rsidP="006B73DC">
            <w:pPr>
              <w:rPr>
                <w:rFonts w:hAnsi="ＭＳ 明朝"/>
                <w:color w:val="000000" w:themeColor="text1"/>
              </w:rPr>
            </w:pPr>
          </w:p>
        </w:tc>
        <w:tc>
          <w:tcPr>
            <w:tcW w:w="708" w:type="dxa"/>
            <w:vAlign w:val="center"/>
          </w:tcPr>
          <w:p w14:paraId="452A29F0" w14:textId="77777777" w:rsidR="001535D8" w:rsidRPr="00790C02" w:rsidRDefault="001535D8" w:rsidP="006B73DC">
            <w:pPr>
              <w:rPr>
                <w:rFonts w:hAnsi="ＭＳ 明朝"/>
                <w:color w:val="000000" w:themeColor="text1"/>
              </w:rPr>
            </w:pPr>
          </w:p>
        </w:tc>
        <w:tc>
          <w:tcPr>
            <w:tcW w:w="4870" w:type="dxa"/>
            <w:vAlign w:val="center"/>
          </w:tcPr>
          <w:p w14:paraId="7D97B307" w14:textId="77777777" w:rsidR="001535D8" w:rsidRPr="00790C02" w:rsidRDefault="001535D8" w:rsidP="006B73DC">
            <w:pPr>
              <w:rPr>
                <w:rFonts w:hAnsi="ＭＳ 明朝"/>
                <w:color w:val="000000" w:themeColor="text1"/>
              </w:rPr>
            </w:pPr>
          </w:p>
        </w:tc>
      </w:tr>
      <w:tr w:rsidR="00790C02" w:rsidRPr="00790C02" w14:paraId="779AC4FF" w14:textId="77777777" w:rsidTr="006B73DC">
        <w:trPr>
          <w:trHeight w:val="875"/>
          <w:jc w:val="center"/>
        </w:trPr>
        <w:tc>
          <w:tcPr>
            <w:tcW w:w="2064" w:type="dxa"/>
            <w:vAlign w:val="center"/>
          </w:tcPr>
          <w:p w14:paraId="2A8E17E5" w14:textId="77777777" w:rsidR="001535D8" w:rsidRPr="00790C02" w:rsidRDefault="001535D8" w:rsidP="006B73DC">
            <w:pPr>
              <w:jc w:val="center"/>
              <w:rPr>
                <w:rFonts w:hAnsi="ＭＳ 明朝"/>
                <w:color w:val="000000" w:themeColor="text1"/>
              </w:rPr>
            </w:pPr>
          </w:p>
        </w:tc>
        <w:tc>
          <w:tcPr>
            <w:tcW w:w="1843" w:type="dxa"/>
            <w:vAlign w:val="center"/>
          </w:tcPr>
          <w:p w14:paraId="2837795F" w14:textId="77777777" w:rsidR="001535D8" w:rsidRPr="00790C02" w:rsidRDefault="001535D8" w:rsidP="006B73DC">
            <w:pPr>
              <w:rPr>
                <w:rFonts w:hAnsi="ＭＳ 明朝"/>
                <w:color w:val="000000" w:themeColor="text1"/>
              </w:rPr>
            </w:pPr>
          </w:p>
        </w:tc>
        <w:tc>
          <w:tcPr>
            <w:tcW w:w="1255" w:type="dxa"/>
            <w:vAlign w:val="center"/>
          </w:tcPr>
          <w:p w14:paraId="7337E86E" w14:textId="77777777" w:rsidR="001535D8" w:rsidRPr="00790C02" w:rsidRDefault="001535D8" w:rsidP="006B73DC">
            <w:pPr>
              <w:rPr>
                <w:rFonts w:hAnsi="ＭＳ 明朝"/>
                <w:color w:val="000000" w:themeColor="text1"/>
              </w:rPr>
            </w:pPr>
          </w:p>
        </w:tc>
        <w:tc>
          <w:tcPr>
            <w:tcW w:w="2147" w:type="dxa"/>
            <w:vAlign w:val="center"/>
          </w:tcPr>
          <w:p w14:paraId="42DCC9A2" w14:textId="77777777" w:rsidR="001535D8" w:rsidRPr="00790C02" w:rsidRDefault="001535D8" w:rsidP="006B73DC">
            <w:pPr>
              <w:rPr>
                <w:rFonts w:hAnsi="ＭＳ 明朝"/>
                <w:color w:val="000000" w:themeColor="text1"/>
              </w:rPr>
            </w:pPr>
          </w:p>
        </w:tc>
        <w:tc>
          <w:tcPr>
            <w:tcW w:w="1272" w:type="dxa"/>
            <w:vAlign w:val="center"/>
          </w:tcPr>
          <w:p w14:paraId="2B30277E" w14:textId="77777777" w:rsidR="001535D8" w:rsidRPr="00790C02" w:rsidRDefault="001535D8" w:rsidP="006B73DC">
            <w:pPr>
              <w:rPr>
                <w:rFonts w:hAnsi="ＭＳ 明朝"/>
                <w:color w:val="000000" w:themeColor="text1"/>
              </w:rPr>
            </w:pPr>
          </w:p>
        </w:tc>
        <w:tc>
          <w:tcPr>
            <w:tcW w:w="708" w:type="dxa"/>
            <w:vAlign w:val="center"/>
          </w:tcPr>
          <w:p w14:paraId="7167C5DE" w14:textId="77777777" w:rsidR="001535D8" w:rsidRPr="00790C02" w:rsidRDefault="001535D8" w:rsidP="006B73DC">
            <w:pPr>
              <w:rPr>
                <w:rFonts w:hAnsi="ＭＳ 明朝"/>
                <w:color w:val="000000" w:themeColor="text1"/>
              </w:rPr>
            </w:pPr>
          </w:p>
        </w:tc>
        <w:tc>
          <w:tcPr>
            <w:tcW w:w="4870" w:type="dxa"/>
            <w:vAlign w:val="center"/>
          </w:tcPr>
          <w:p w14:paraId="351EBF39" w14:textId="77777777" w:rsidR="001535D8" w:rsidRPr="00790C02" w:rsidRDefault="001535D8" w:rsidP="006B73DC">
            <w:pPr>
              <w:rPr>
                <w:rFonts w:hAnsi="ＭＳ 明朝"/>
                <w:color w:val="000000" w:themeColor="text1"/>
              </w:rPr>
            </w:pPr>
          </w:p>
        </w:tc>
      </w:tr>
      <w:tr w:rsidR="00790C02" w:rsidRPr="00790C02" w14:paraId="66CA0561" w14:textId="77777777" w:rsidTr="006B73DC">
        <w:trPr>
          <w:trHeight w:val="875"/>
          <w:jc w:val="center"/>
        </w:trPr>
        <w:tc>
          <w:tcPr>
            <w:tcW w:w="2064" w:type="dxa"/>
            <w:vAlign w:val="center"/>
          </w:tcPr>
          <w:p w14:paraId="07845BEF" w14:textId="77777777" w:rsidR="001535D8" w:rsidRPr="00790C02" w:rsidRDefault="001535D8" w:rsidP="006B73DC">
            <w:pPr>
              <w:jc w:val="center"/>
              <w:rPr>
                <w:rFonts w:hAnsi="ＭＳ 明朝"/>
                <w:color w:val="000000" w:themeColor="text1"/>
              </w:rPr>
            </w:pPr>
          </w:p>
        </w:tc>
        <w:tc>
          <w:tcPr>
            <w:tcW w:w="1843" w:type="dxa"/>
            <w:vAlign w:val="center"/>
          </w:tcPr>
          <w:p w14:paraId="7BC78583" w14:textId="77777777" w:rsidR="001535D8" w:rsidRPr="00790C02" w:rsidRDefault="001535D8" w:rsidP="006B73DC">
            <w:pPr>
              <w:rPr>
                <w:rFonts w:hAnsi="ＭＳ 明朝"/>
                <w:color w:val="000000" w:themeColor="text1"/>
              </w:rPr>
            </w:pPr>
          </w:p>
        </w:tc>
        <w:tc>
          <w:tcPr>
            <w:tcW w:w="1255" w:type="dxa"/>
            <w:vAlign w:val="center"/>
          </w:tcPr>
          <w:p w14:paraId="3059DA71" w14:textId="77777777" w:rsidR="001535D8" w:rsidRPr="00790C02" w:rsidRDefault="001535D8" w:rsidP="006B73DC">
            <w:pPr>
              <w:rPr>
                <w:rFonts w:hAnsi="ＭＳ 明朝"/>
                <w:color w:val="000000" w:themeColor="text1"/>
              </w:rPr>
            </w:pPr>
          </w:p>
        </w:tc>
        <w:tc>
          <w:tcPr>
            <w:tcW w:w="2147" w:type="dxa"/>
            <w:vAlign w:val="center"/>
          </w:tcPr>
          <w:p w14:paraId="021DF19A" w14:textId="77777777" w:rsidR="001535D8" w:rsidRPr="00790C02" w:rsidRDefault="001535D8" w:rsidP="006B73DC">
            <w:pPr>
              <w:rPr>
                <w:rFonts w:hAnsi="ＭＳ 明朝"/>
                <w:color w:val="000000" w:themeColor="text1"/>
              </w:rPr>
            </w:pPr>
          </w:p>
        </w:tc>
        <w:tc>
          <w:tcPr>
            <w:tcW w:w="1272" w:type="dxa"/>
            <w:vAlign w:val="center"/>
          </w:tcPr>
          <w:p w14:paraId="51CA5E89" w14:textId="77777777" w:rsidR="001535D8" w:rsidRPr="00790C02" w:rsidRDefault="001535D8" w:rsidP="006B73DC">
            <w:pPr>
              <w:rPr>
                <w:rFonts w:hAnsi="ＭＳ 明朝"/>
                <w:color w:val="000000" w:themeColor="text1"/>
              </w:rPr>
            </w:pPr>
          </w:p>
        </w:tc>
        <w:tc>
          <w:tcPr>
            <w:tcW w:w="708" w:type="dxa"/>
            <w:vAlign w:val="center"/>
          </w:tcPr>
          <w:p w14:paraId="5B999373" w14:textId="77777777" w:rsidR="001535D8" w:rsidRPr="00790C02" w:rsidRDefault="001535D8" w:rsidP="006B73DC">
            <w:pPr>
              <w:rPr>
                <w:rFonts w:hAnsi="ＭＳ 明朝"/>
                <w:color w:val="000000" w:themeColor="text1"/>
              </w:rPr>
            </w:pPr>
          </w:p>
        </w:tc>
        <w:tc>
          <w:tcPr>
            <w:tcW w:w="4870" w:type="dxa"/>
            <w:vAlign w:val="center"/>
          </w:tcPr>
          <w:p w14:paraId="2DBA7FEA" w14:textId="77777777" w:rsidR="001535D8" w:rsidRPr="00790C02" w:rsidRDefault="001535D8" w:rsidP="006B73DC">
            <w:pPr>
              <w:rPr>
                <w:rFonts w:hAnsi="ＭＳ 明朝"/>
                <w:color w:val="000000" w:themeColor="text1"/>
              </w:rPr>
            </w:pPr>
          </w:p>
        </w:tc>
      </w:tr>
      <w:tr w:rsidR="00790C02" w:rsidRPr="00790C02" w14:paraId="653C22BE" w14:textId="77777777" w:rsidTr="006B73DC">
        <w:trPr>
          <w:trHeight w:val="875"/>
          <w:jc w:val="center"/>
        </w:trPr>
        <w:tc>
          <w:tcPr>
            <w:tcW w:w="2064" w:type="dxa"/>
            <w:vAlign w:val="center"/>
          </w:tcPr>
          <w:p w14:paraId="6F3D3E1D" w14:textId="77777777" w:rsidR="001535D8" w:rsidRPr="00790C02" w:rsidRDefault="001535D8" w:rsidP="006B73DC">
            <w:pPr>
              <w:jc w:val="center"/>
              <w:rPr>
                <w:rFonts w:hAnsi="ＭＳ 明朝"/>
                <w:color w:val="000000" w:themeColor="text1"/>
              </w:rPr>
            </w:pPr>
          </w:p>
        </w:tc>
        <w:tc>
          <w:tcPr>
            <w:tcW w:w="1843" w:type="dxa"/>
            <w:vAlign w:val="center"/>
          </w:tcPr>
          <w:p w14:paraId="1B84E39C" w14:textId="77777777" w:rsidR="001535D8" w:rsidRPr="00790C02" w:rsidRDefault="001535D8" w:rsidP="006B73DC">
            <w:pPr>
              <w:rPr>
                <w:rFonts w:hAnsi="ＭＳ 明朝"/>
                <w:color w:val="000000" w:themeColor="text1"/>
              </w:rPr>
            </w:pPr>
          </w:p>
        </w:tc>
        <w:tc>
          <w:tcPr>
            <w:tcW w:w="1255" w:type="dxa"/>
            <w:vAlign w:val="center"/>
          </w:tcPr>
          <w:p w14:paraId="541CA1ED" w14:textId="77777777" w:rsidR="001535D8" w:rsidRPr="00790C02" w:rsidRDefault="001535D8" w:rsidP="006B73DC">
            <w:pPr>
              <w:rPr>
                <w:rFonts w:hAnsi="ＭＳ 明朝"/>
                <w:color w:val="000000" w:themeColor="text1"/>
              </w:rPr>
            </w:pPr>
          </w:p>
        </w:tc>
        <w:tc>
          <w:tcPr>
            <w:tcW w:w="2147" w:type="dxa"/>
            <w:vAlign w:val="center"/>
          </w:tcPr>
          <w:p w14:paraId="697CDB29" w14:textId="77777777" w:rsidR="001535D8" w:rsidRPr="00790C02" w:rsidRDefault="001535D8" w:rsidP="006B73DC">
            <w:pPr>
              <w:rPr>
                <w:rFonts w:hAnsi="ＭＳ 明朝"/>
                <w:color w:val="000000" w:themeColor="text1"/>
              </w:rPr>
            </w:pPr>
          </w:p>
        </w:tc>
        <w:tc>
          <w:tcPr>
            <w:tcW w:w="1272" w:type="dxa"/>
            <w:vAlign w:val="center"/>
          </w:tcPr>
          <w:p w14:paraId="75F09A78" w14:textId="77777777" w:rsidR="001535D8" w:rsidRPr="00790C02" w:rsidRDefault="001535D8" w:rsidP="006B73DC">
            <w:pPr>
              <w:rPr>
                <w:rFonts w:hAnsi="ＭＳ 明朝"/>
                <w:color w:val="000000" w:themeColor="text1"/>
              </w:rPr>
            </w:pPr>
          </w:p>
        </w:tc>
        <w:tc>
          <w:tcPr>
            <w:tcW w:w="708" w:type="dxa"/>
            <w:vAlign w:val="center"/>
          </w:tcPr>
          <w:p w14:paraId="2A62E0FC" w14:textId="77777777" w:rsidR="001535D8" w:rsidRPr="00790C02" w:rsidRDefault="001535D8" w:rsidP="006B73DC">
            <w:pPr>
              <w:rPr>
                <w:rFonts w:hAnsi="ＭＳ 明朝"/>
                <w:color w:val="000000" w:themeColor="text1"/>
              </w:rPr>
            </w:pPr>
          </w:p>
        </w:tc>
        <w:tc>
          <w:tcPr>
            <w:tcW w:w="4870" w:type="dxa"/>
            <w:vAlign w:val="center"/>
          </w:tcPr>
          <w:p w14:paraId="2E5DF2E6" w14:textId="77777777" w:rsidR="001535D8" w:rsidRPr="00790C02" w:rsidRDefault="001535D8" w:rsidP="006B73DC">
            <w:pPr>
              <w:rPr>
                <w:rFonts w:hAnsi="ＭＳ 明朝"/>
                <w:color w:val="000000" w:themeColor="text1"/>
              </w:rPr>
            </w:pPr>
          </w:p>
        </w:tc>
      </w:tr>
      <w:tr w:rsidR="00790C02" w:rsidRPr="00790C02" w14:paraId="3A385C3F" w14:textId="77777777" w:rsidTr="006B73DC">
        <w:trPr>
          <w:trHeight w:val="875"/>
          <w:jc w:val="center"/>
        </w:trPr>
        <w:tc>
          <w:tcPr>
            <w:tcW w:w="2064" w:type="dxa"/>
            <w:vAlign w:val="center"/>
          </w:tcPr>
          <w:p w14:paraId="60688495" w14:textId="77777777" w:rsidR="001535D8" w:rsidRPr="00790C02" w:rsidRDefault="001535D8" w:rsidP="006B73DC">
            <w:pPr>
              <w:jc w:val="center"/>
              <w:rPr>
                <w:rFonts w:hAnsi="ＭＳ 明朝"/>
                <w:color w:val="000000" w:themeColor="text1"/>
              </w:rPr>
            </w:pPr>
          </w:p>
        </w:tc>
        <w:tc>
          <w:tcPr>
            <w:tcW w:w="1843" w:type="dxa"/>
            <w:vAlign w:val="center"/>
          </w:tcPr>
          <w:p w14:paraId="24B32352" w14:textId="77777777" w:rsidR="001535D8" w:rsidRPr="00790C02" w:rsidRDefault="001535D8" w:rsidP="006B73DC">
            <w:pPr>
              <w:rPr>
                <w:rFonts w:hAnsi="ＭＳ 明朝"/>
                <w:color w:val="000000" w:themeColor="text1"/>
              </w:rPr>
            </w:pPr>
          </w:p>
        </w:tc>
        <w:tc>
          <w:tcPr>
            <w:tcW w:w="1255" w:type="dxa"/>
            <w:vAlign w:val="center"/>
          </w:tcPr>
          <w:p w14:paraId="075EB671" w14:textId="77777777" w:rsidR="001535D8" w:rsidRPr="00790C02" w:rsidRDefault="001535D8" w:rsidP="006B73DC">
            <w:pPr>
              <w:rPr>
                <w:rFonts w:hAnsi="ＭＳ 明朝"/>
                <w:color w:val="000000" w:themeColor="text1"/>
              </w:rPr>
            </w:pPr>
          </w:p>
        </w:tc>
        <w:tc>
          <w:tcPr>
            <w:tcW w:w="2147" w:type="dxa"/>
            <w:vAlign w:val="center"/>
          </w:tcPr>
          <w:p w14:paraId="5789C2A0" w14:textId="77777777" w:rsidR="001535D8" w:rsidRPr="00790C02" w:rsidRDefault="001535D8" w:rsidP="006B73DC">
            <w:pPr>
              <w:rPr>
                <w:rFonts w:hAnsi="ＭＳ 明朝"/>
                <w:color w:val="000000" w:themeColor="text1"/>
              </w:rPr>
            </w:pPr>
          </w:p>
        </w:tc>
        <w:tc>
          <w:tcPr>
            <w:tcW w:w="1272" w:type="dxa"/>
            <w:vAlign w:val="center"/>
          </w:tcPr>
          <w:p w14:paraId="5AFC4918" w14:textId="77777777" w:rsidR="001535D8" w:rsidRPr="00790C02" w:rsidRDefault="001535D8" w:rsidP="006B73DC">
            <w:pPr>
              <w:rPr>
                <w:rFonts w:hAnsi="ＭＳ 明朝"/>
                <w:color w:val="000000" w:themeColor="text1"/>
              </w:rPr>
            </w:pPr>
          </w:p>
        </w:tc>
        <w:tc>
          <w:tcPr>
            <w:tcW w:w="708" w:type="dxa"/>
            <w:vAlign w:val="center"/>
          </w:tcPr>
          <w:p w14:paraId="1B8CF6D0" w14:textId="77777777" w:rsidR="001535D8" w:rsidRPr="00790C02" w:rsidRDefault="001535D8" w:rsidP="006B73DC">
            <w:pPr>
              <w:rPr>
                <w:rFonts w:hAnsi="ＭＳ 明朝"/>
                <w:color w:val="000000" w:themeColor="text1"/>
              </w:rPr>
            </w:pPr>
          </w:p>
        </w:tc>
        <w:tc>
          <w:tcPr>
            <w:tcW w:w="4870" w:type="dxa"/>
            <w:vAlign w:val="center"/>
          </w:tcPr>
          <w:p w14:paraId="09E53BEB" w14:textId="77777777" w:rsidR="001535D8" w:rsidRPr="00790C02" w:rsidRDefault="001535D8" w:rsidP="006B73DC">
            <w:pPr>
              <w:rPr>
                <w:rFonts w:hAnsi="ＭＳ 明朝"/>
                <w:color w:val="000000" w:themeColor="text1"/>
              </w:rPr>
            </w:pPr>
          </w:p>
        </w:tc>
      </w:tr>
    </w:tbl>
    <w:p w14:paraId="1F37A75E" w14:textId="77777777" w:rsidR="001535D8" w:rsidRPr="00790C02" w:rsidRDefault="001535D8" w:rsidP="001535D8">
      <w:pPr>
        <w:jc w:val="left"/>
        <w:rPr>
          <w:rFonts w:ascii="ＭＳ 明朝" w:eastAsia="ＭＳ 明朝" w:hAnsi="ＭＳ 明朝"/>
          <w:color w:val="000000" w:themeColor="text1"/>
        </w:rPr>
      </w:pPr>
      <w:r w:rsidRPr="00790C02">
        <w:rPr>
          <w:rFonts w:ascii="ＭＳ 明朝" w:eastAsia="ＭＳ 明朝" w:hAnsi="ＭＳ 明朝" w:hint="eastAsia"/>
          <w:color w:val="000000" w:themeColor="text1"/>
        </w:rPr>
        <w:t>〔注意事項〕委託業務全般に係る業務実施体制を記載すること。</w:t>
      </w:r>
    </w:p>
    <w:p w14:paraId="351C89C1" w14:textId="77777777" w:rsidR="001535D8" w:rsidRPr="00790C02" w:rsidRDefault="001535D8" w:rsidP="001535D8">
      <w:pPr>
        <w:kinsoku w:val="0"/>
        <w:overflowPunct w:val="0"/>
        <w:autoSpaceDE w:val="0"/>
        <w:autoSpaceDN w:val="0"/>
        <w:jc w:val="left"/>
        <w:rPr>
          <w:rFonts w:ascii="ＭＳ 明朝" w:eastAsia="ＭＳ 明朝" w:hAnsi="ＭＳ 明朝"/>
          <w:color w:val="000000" w:themeColor="text1"/>
        </w:rPr>
      </w:pPr>
      <w:r w:rsidRPr="00790C02">
        <w:rPr>
          <w:rFonts w:ascii="ＭＳ 明朝" w:eastAsia="ＭＳ 明朝" w:hAnsi="ＭＳ 明朝" w:hint="eastAsia"/>
          <w:color w:val="000000" w:themeColor="text1"/>
        </w:rPr>
        <w:t xml:space="preserve">　　　　　　なお、責任者及び県との連絡担当者を明示すること。</w:t>
      </w:r>
    </w:p>
    <w:sectPr w:rsidR="001535D8" w:rsidRPr="00790C02" w:rsidSect="00F33C92">
      <w:pgSz w:w="16838" w:h="11906" w:orient="landscape"/>
      <w:pgMar w:top="1077" w:right="1440"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05D42" w14:textId="77777777" w:rsidR="006650BA" w:rsidRDefault="006650BA" w:rsidP="003C2CEE">
      <w:r>
        <w:separator/>
      </w:r>
    </w:p>
  </w:endnote>
  <w:endnote w:type="continuationSeparator" w:id="0">
    <w:p w14:paraId="3347AB86" w14:textId="77777777" w:rsidR="006650BA" w:rsidRDefault="006650BA" w:rsidP="003C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TE2718F28t00CID-WinCharSetFFFF">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160981"/>
      <w:docPartObj>
        <w:docPartGallery w:val="Page Numbers (Bottom of Page)"/>
        <w:docPartUnique/>
      </w:docPartObj>
    </w:sdtPr>
    <w:sdtEndPr>
      <w:rPr>
        <w:rFonts w:ascii="ＭＳ ゴシック" w:eastAsia="ＭＳ ゴシック" w:hAnsi="ＭＳ ゴシック"/>
      </w:rPr>
    </w:sdtEndPr>
    <w:sdtContent>
      <w:p w14:paraId="23A6A8D5" w14:textId="29D0FAF1" w:rsidR="009C5B6C" w:rsidRPr="009C5B6C" w:rsidRDefault="009C5B6C">
        <w:pPr>
          <w:pStyle w:val="a9"/>
          <w:jc w:val="center"/>
          <w:rPr>
            <w:rFonts w:ascii="ＭＳ ゴシック" w:eastAsia="ＭＳ ゴシック" w:hAnsi="ＭＳ ゴシック"/>
          </w:rPr>
        </w:pPr>
        <w:r w:rsidRPr="009C5B6C">
          <w:rPr>
            <w:rFonts w:ascii="ＭＳ ゴシック" w:eastAsia="ＭＳ ゴシック" w:hAnsi="ＭＳ ゴシック"/>
          </w:rPr>
          <w:fldChar w:fldCharType="begin"/>
        </w:r>
        <w:r w:rsidRPr="009C5B6C">
          <w:rPr>
            <w:rFonts w:ascii="ＭＳ ゴシック" w:eastAsia="ＭＳ ゴシック" w:hAnsi="ＭＳ ゴシック"/>
          </w:rPr>
          <w:instrText>PAGE   \* MERGEFORMAT</w:instrText>
        </w:r>
        <w:r w:rsidRPr="009C5B6C">
          <w:rPr>
            <w:rFonts w:ascii="ＭＳ ゴシック" w:eastAsia="ＭＳ ゴシック" w:hAnsi="ＭＳ ゴシック"/>
          </w:rPr>
          <w:fldChar w:fldCharType="separate"/>
        </w:r>
        <w:r w:rsidR="00A51CBF" w:rsidRPr="00A51CBF">
          <w:rPr>
            <w:rFonts w:ascii="ＭＳ ゴシック" w:eastAsia="ＭＳ ゴシック" w:hAnsi="ＭＳ ゴシック"/>
            <w:noProof/>
            <w:lang w:val="ja-JP"/>
          </w:rPr>
          <w:t>6</w:t>
        </w:r>
        <w:r w:rsidRPr="009C5B6C">
          <w:rPr>
            <w:rFonts w:ascii="ＭＳ ゴシック" w:eastAsia="ＭＳ ゴシック" w:hAnsi="ＭＳ ゴシック"/>
          </w:rPr>
          <w:fldChar w:fldCharType="end"/>
        </w:r>
      </w:p>
    </w:sdtContent>
  </w:sdt>
  <w:p w14:paraId="76DE9568" w14:textId="77777777" w:rsidR="009C5B6C" w:rsidRDefault="009C5B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BFD1" w14:textId="77777777" w:rsidR="006650BA" w:rsidRDefault="006650BA" w:rsidP="003C2CEE">
      <w:r>
        <w:separator/>
      </w:r>
    </w:p>
  </w:footnote>
  <w:footnote w:type="continuationSeparator" w:id="0">
    <w:p w14:paraId="20F38AB3" w14:textId="77777777" w:rsidR="006650BA" w:rsidRDefault="006650BA" w:rsidP="003C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56"/>
    <w:rsid w:val="000008E7"/>
    <w:rsid w:val="000152CA"/>
    <w:rsid w:val="000306DA"/>
    <w:rsid w:val="00044A6E"/>
    <w:rsid w:val="0006081C"/>
    <w:rsid w:val="0006427A"/>
    <w:rsid w:val="000702A2"/>
    <w:rsid w:val="000960DD"/>
    <w:rsid w:val="000E0C56"/>
    <w:rsid w:val="00110A02"/>
    <w:rsid w:val="001361F4"/>
    <w:rsid w:val="001535D8"/>
    <w:rsid w:val="001654C8"/>
    <w:rsid w:val="001C4001"/>
    <w:rsid w:val="001D36EE"/>
    <w:rsid w:val="001D4814"/>
    <w:rsid w:val="00205B20"/>
    <w:rsid w:val="0020677B"/>
    <w:rsid w:val="0021006D"/>
    <w:rsid w:val="00291CE5"/>
    <w:rsid w:val="0029573D"/>
    <w:rsid w:val="002E6459"/>
    <w:rsid w:val="002F5CA4"/>
    <w:rsid w:val="003116CB"/>
    <w:rsid w:val="00324C35"/>
    <w:rsid w:val="003276A3"/>
    <w:rsid w:val="00343726"/>
    <w:rsid w:val="00362657"/>
    <w:rsid w:val="00365F8F"/>
    <w:rsid w:val="00372377"/>
    <w:rsid w:val="0037699C"/>
    <w:rsid w:val="00381A75"/>
    <w:rsid w:val="0039198F"/>
    <w:rsid w:val="00392B2B"/>
    <w:rsid w:val="003A3A2F"/>
    <w:rsid w:val="003C2CEE"/>
    <w:rsid w:val="003F3EA1"/>
    <w:rsid w:val="004050FC"/>
    <w:rsid w:val="00454B80"/>
    <w:rsid w:val="00457ACF"/>
    <w:rsid w:val="00484EED"/>
    <w:rsid w:val="004879D2"/>
    <w:rsid w:val="00487AEB"/>
    <w:rsid w:val="00487CCC"/>
    <w:rsid w:val="004961D9"/>
    <w:rsid w:val="004A38EF"/>
    <w:rsid w:val="004A66CC"/>
    <w:rsid w:val="004C5E8E"/>
    <w:rsid w:val="004D21F9"/>
    <w:rsid w:val="005018A6"/>
    <w:rsid w:val="00507BD3"/>
    <w:rsid w:val="00511D4E"/>
    <w:rsid w:val="00514BED"/>
    <w:rsid w:val="005222C0"/>
    <w:rsid w:val="00525EE4"/>
    <w:rsid w:val="00535DF2"/>
    <w:rsid w:val="0054050A"/>
    <w:rsid w:val="00546503"/>
    <w:rsid w:val="00564D27"/>
    <w:rsid w:val="005678F5"/>
    <w:rsid w:val="00571536"/>
    <w:rsid w:val="00572F5F"/>
    <w:rsid w:val="00574E48"/>
    <w:rsid w:val="005752D0"/>
    <w:rsid w:val="0057740F"/>
    <w:rsid w:val="00595F4F"/>
    <w:rsid w:val="005C2CBD"/>
    <w:rsid w:val="005E4EC7"/>
    <w:rsid w:val="005F44A0"/>
    <w:rsid w:val="005F68C7"/>
    <w:rsid w:val="0062340A"/>
    <w:rsid w:val="00636927"/>
    <w:rsid w:val="00653616"/>
    <w:rsid w:val="006650BA"/>
    <w:rsid w:val="006728E5"/>
    <w:rsid w:val="006823A4"/>
    <w:rsid w:val="00684C56"/>
    <w:rsid w:val="006D6E97"/>
    <w:rsid w:val="006E796F"/>
    <w:rsid w:val="00721434"/>
    <w:rsid w:val="007357F5"/>
    <w:rsid w:val="00735E62"/>
    <w:rsid w:val="0074665C"/>
    <w:rsid w:val="0075185D"/>
    <w:rsid w:val="00753A80"/>
    <w:rsid w:val="007853EA"/>
    <w:rsid w:val="00790C02"/>
    <w:rsid w:val="007A5D2B"/>
    <w:rsid w:val="007C56F2"/>
    <w:rsid w:val="007C724E"/>
    <w:rsid w:val="007D2531"/>
    <w:rsid w:val="007D3F32"/>
    <w:rsid w:val="007E2FA3"/>
    <w:rsid w:val="007E3B1C"/>
    <w:rsid w:val="00803BEF"/>
    <w:rsid w:val="00821FAF"/>
    <w:rsid w:val="0083105B"/>
    <w:rsid w:val="0086565B"/>
    <w:rsid w:val="00884317"/>
    <w:rsid w:val="00897896"/>
    <w:rsid w:val="008C3CF5"/>
    <w:rsid w:val="008E361F"/>
    <w:rsid w:val="008F274E"/>
    <w:rsid w:val="008F6DCF"/>
    <w:rsid w:val="00903A31"/>
    <w:rsid w:val="009135B4"/>
    <w:rsid w:val="009419D6"/>
    <w:rsid w:val="00973830"/>
    <w:rsid w:val="00973D69"/>
    <w:rsid w:val="0097753E"/>
    <w:rsid w:val="00985163"/>
    <w:rsid w:val="009935E7"/>
    <w:rsid w:val="009A1A2D"/>
    <w:rsid w:val="009C5B6C"/>
    <w:rsid w:val="009C6164"/>
    <w:rsid w:val="009C6F48"/>
    <w:rsid w:val="009D6FE3"/>
    <w:rsid w:val="009F4F9C"/>
    <w:rsid w:val="00A15726"/>
    <w:rsid w:val="00A46030"/>
    <w:rsid w:val="00A51CBF"/>
    <w:rsid w:val="00A82E69"/>
    <w:rsid w:val="00A85BBA"/>
    <w:rsid w:val="00AA3B1E"/>
    <w:rsid w:val="00AA4F9B"/>
    <w:rsid w:val="00AA69A1"/>
    <w:rsid w:val="00AD0EDF"/>
    <w:rsid w:val="00AF41CD"/>
    <w:rsid w:val="00B07B4D"/>
    <w:rsid w:val="00B27B50"/>
    <w:rsid w:val="00B30F90"/>
    <w:rsid w:val="00B71D53"/>
    <w:rsid w:val="00B93DC3"/>
    <w:rsid w:val="00BE22DD"/>
    <w:rsid w:val="00BF53B9"/>
    <w:rsid w:val="00C069B5"/>
    <w:rsid w:val="00C52EA1"/>
    <w:rsid w:val="00C52FCB"/>
    <w:rsid w:val="00C878A7"/>
    <w:rsid w:val="00C92670"/>
    <w:rsid w:val="00CA5648"/>
    <w:rsid w:val="00CD3CA5"/>
    <w:rsid w:val="00D13CF3"/>
    <w:rsid w:val="00D2055B"/>
    <w:rsid w:val="00D31ACF"/>
    <w:rsid w:val="00D6453C"/>
    <w:rsid w:val="00D671DC"/>
    <w:rsid w:val="00DB6DEB"/>
    <w:rsid w:val="00DC0519"/>
    <w:rsid w:val="00DD6BE5"/>
    <w:rsid w:val="00DF1FDA"/>
    <w:rsid w:val="00E00792"/>
    <w:rsid w:val="00E50CC8"/>
    <w:rsid w:val="00E513D0"/>
    <w:rsid w:val="00E5214D"/>
    <w:rsid w:val="00E541FA"/>
    <w:rsid w:val="00E67A0A"/>
    <w:rsid w:val="00E82D41"/>
    <w:rsid w:val="00E84B26"/>
    <w:rsid w:val="00E91AF0"/>
    <w:rsid w:val="00E97593"/>
    <w:rsid w:val="00EA5984"/>
    <w:rsid w:val="00EC24A4"/>
    <w:rsid w:val="00EF1F48"/>
    <w:rsid w:val="00F33C92"/>
    <w:rsid w:val="00F360BB"/>
    <w:rsid w:val="00F42C65"/>
    <w:rsid w:val="00F430D4"/>
    <w:rsid w:val="00F43BF6"/>
    <w:rsid w:val="00F56831"/>
    <w:rsid w:val="00FB3EFA"/>
    <w:rsid w:val="00FE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40D2C7"/>
  <w15:chartTrackingRefBased/>
  <w15:docId w15:val="{A2CA882A-35E2-4691-BF72-E161E815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535D8"/>
    <w:pPr>
      <w:spacing w:line="240" w:lineRule="exact"/>
      <w:jc w:val="left"/>
    </w:pPr>
    <w:rPr>
      <w:rFonts w:ascii="Century" w:eastAsia="ＭＳ 明朝" w:hAnsi="Century" w:cs="Times New Roman"/>
    </w:rPr>
  </w:style>
  <w:style w:type="character" w:customStyle="1" w:styleId="a4">
    <w:name w:val="日付 (文字)"/>
    <w:basedOn w:val="a0"/>
    <w:link w:val="a3"/>
    <w:semiHidden/>
    <w:rsid w:val="001535D8"/>
    <w:rPr>
      <w:rFonts w:ascii="Century" w:eastAsia="ＭＳ 明朝" w:hAnsi="Century" w:cs="Times New Roman"/>
    </w:rPr>
  </w:style>
  <w:style w:type="paragraph" w:styleId="a5">
    <w:name w:val="Balloon Text"/>
    <w:basedOn w:val="a"/>
    <w:link w:val="a6"/>
    <w:uiPriority w:val="99"/>
    <w:semiHidden/>
    <w:unhideWhenUsed/>
    <w:rsid w:val="00E541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41FA"/>
    <w:rPr>
      <w:rFonts w:asciiTheme="majorHAnsi" w:eastAsiaTheme="majorEastAsia" w:hAnsiTheme="majorHAnsi" w:cstheme="majorBidi"/>
      <w:sz w:val="18"/>
      <w:szCs w:val="18"/>
    </w:rPr>
  </w:style>
  <w:style w:type="paragraph" w:styleId="a7">
    <w:name w:val="header"/>
    <w:basedOn w:val="a"/>
    <w:link w:val="a8"/>
    <w:uiPriority w:val="99"/>
    <w:unhideWhenUsed/>
    <w:rsid w:val="003C2CEE"/>
    <w:pPr>
      <w:tabs>
        <w:tab w:val="center" w:pos="4252"/>
        <w:tab w:val="right" w:pos="8504"/>
      </w:tabs>
      <w:snapToGrid w:val="0"/>
    </w:pPr>
  </w:style>
  <w:style w:type="character" w:customStyle="1" w:styleId="a8">
    <w:name w:val="ヘッダー (文字)"/>
    <w:basedOn w:val="a0"/>
    <w:link w:val="a7"/>
    <w:uiPriority w:val="99"/>
    <w:rsid w:val="003C2CEE"/>
  </w:style>
  <w:style w:type="paragraph" w:styleId="a9">
    <w:name w:val="footer"/>
    <w:basedOn w:val="a"/>
    <w:link w:val="aa"/>
    <w:uiPriority w:val="99"/>
    <w:unhideWhenUsed/>
    <w:rsid w:val="003C2CEE"/>
    <w:pPr>
      <w:tabs>
        <w:tab w:val="center" w:pos="4252"/>
        <w:tab w:val="right" w:pos="8504"/>
      </w:tabs>
      <w:snapToGrid w:val="0"/>
    </w:pPr>
  </w:style>
  <w:style w:type="character" w:customStyle="1" w:styleId="aa">
    <w:name w:val="フッター (文字)"/>
    <w:basedOn w:val="a0"/>
    <w:link w:val="a9"/>
    <w:uiPriority w:val="99"/>
    <w:rsid w:val="003C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BF4B9-F945-42FD-BF28-D0886934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小澤侑里奈</dc:creator>
  <cp:keywords/>
  <dc:description/>
  <cp:lastModifiedBy>小澤侑里奈</cp:lastModifiedBy>
  <cp:revision>3</cp:revision>
  <cp:lastPrinted>2024-12-25T00:33:00Z</cp:lastPrinted>
  <dcterms:created xsi:type="dcterms:W3CDTF">2025-02-10T01:13:00Z</dcterms:created>
  <dcterms:modified xsi:type="dcterms:W3CDTF">2025-02-10T01:22:00Z</dcterms:modified>
</cp:coreProperties>
</file>