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9364B" w14:textId="0E4A7789" w:rsidR="003239A4" w:rsidRDefault="0057730A" w:rsidP="007809E5">
      <w:pPr>
        <w:jc w:val="center"/>
        <w:rPr>
          <w:rFonts w:ascii="ＭＳ 明朝" w:eastAsia="ＭＳ 明朝" w:hAnsi="ＭＳ 明朝"/>
          <w:b/>
        </w:rPr>
      </w:pPr>
      <w:r w:rsidRPr="0057730A">
        <w:rPr>
          <w:rFonts w:ascii="ＭＳ 明朝" w:eastAsia="ＭＳ 明朝" w:hAnsi="ＭＳ 明朝"/>
          <w:b/>
          <w:noProof/>
        </w:rPr>
        <mc:AlternateContent>
          <mc:Choice Requires="wps">
            <w:drawing>
              <wp:anchor distT="45720" distB="45720" distL="114300" distR="114300" simplePos="0" relativeHeight="251661312" behindDoc="0" locked="0" layoutInCell="1" allowOverlap="1" wp14:anchorId="574953AA" wp14:editId="0170DE28">
                <wp:simplePos x="0" y="0"/>
                <wp:positionH relativeFrom="column">
                  <wp:posOffset>4726305</wp:posOffset>
                </wp:positionH>
                <wp:positionV relativeFrom="topMargin">
                  <wp:posOffset>510540</wp:posOffset>
                </wp:positionV>
                <wp:extent cx="762120" cy="1404620"/>
                <wp:effectExtent l="0" t="0" r="19050"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120" cy="1404620"/>
                        </a:xfrm>
                        <a:prstGeom prst="rect">
                          <a:avLst/>
                        </a:prstGeom>
                        <a:solidFill>
                          <a:srgbClr val="FFFFFF"/>
                        </a:solidFill>
                        <a:ln w="9525">
                          <a:solidFill>
                            <a:srgbClr val="000000"/>
                          </a:solidFill>
                          <a:miter lim="800000"/>
                          <a:headEnd/>
                          <a:tailEnd/>
                        </a:ln>
                      </wps:spPr>
                      <wps:txbx>
                        <w:txbxContent>
                          <w:p w14:paraId="1C2B6A80" w14:textId="294728A7" w:rsidR="0057730A" w:rsidRPr="0057730A" w:rsidRDefault="0057730A">
                            <w:pPr>
                              <w:rPr>
                                <w:rFonts w:ascii="ＭＳ ゴシック" w:eastAsia="ＭＳ ゴシック" w:hAnsi="ＭＳ ゴシック"/>
                                <w:b/>
                                <w:bCs/>
                              </w:rPr>
                            </w:pPr>
                            <w:r w:rsidRPr="0057730A">
                              <w:rPr>
                                <w:rFonts w:ascii="ＭＳ ゴシック" w:eastAsia="ＭＳ ゴシック" w:hAnsi="ＭＳ ゴシック" w:hint="eastAsia"/>
                                <w:b/>
                                <w:bCs/>
                              </w:rPr>
                              <w:t>参考資料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74953AA" id="_x0000_t202" coordsize="21600,21600" o:spt="202" path="m,l,21600r21600,l21600,xe">
                <v:stroke joinstyle="miter"/>
                <v:path gradientshapeok="t" o:connecttype="rect"/>
              </v:shapetype>
              <v:shape id="テキスト ボックス 2" o:spid="_x0000_s1026" type="#_x0000_t202" style="position:absolute;left:0;text-align:left;margin-left:372.15pt;margin-top:40.2pt;width:60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op-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">
                <v:textbox style="mso-fit-shape-to-text:t">
                  <w:txbxContent>
                    <w:p w14:paraId="1C2B6A80" w14:textId="294728A7" w:rsidR="0057730A" w:rsidRPr="0057730A" w:rsidRDefault="0057730A">
                      <w:pPr>
                        <w:rPr>
                          <w:rFonts w:ascii="ＭＳ ゴシック" w:eastAsia="ＭＳ ゴシック" w:hAnsi="ＭＳ ゴシック"/>
                          <w:b/>
                          <w:bCs/>
                        </w:rPr>
                      </w:pPr>
                      <w:r w:rsidRPr="0057730A">
                        <w:rPr>
                          <w:rFonts w:ascii="ＭＳ ゴシック" w:eastAsia="ＭＳ ゴシック" w:hAnsi="ＭＳ ゴシック" w:hint="eastAsia"/>
                          <w:b/>
                          <w:bCs/>
                        </w:rPr>
                        <w:t>参考資料</w:t>
                      </w:r>
                    </w:p>
                  </w:txbxContent>
                </v:textbox>
                <w10:wrap type="square" anchory="margin"/>
              </v:shape>
            </w:pict>
          </mc:Fallback>
        </mc:AlternateContent>
      </w:r>
      <w:r w:rsidR="003239A4" w:rsidRPr="003239A4">
        <w:rPr>
          <w:rFonts w:ascii="ＭＳ 明朝" w:eastAsia="ＭＳ 明朝" w:hAnsi="ＭＳ 明朝" w:hint="eastAsia"/>
          <w:b/>
        </w:rPr>
        <w:t>民泊特別部会の概要</w:t>
      </w:r>
    </w:p>
    <w:p w14:paraId="10ED36B8" w14:textId="3B8B348F" w:rsidR="007809E5" w:rsidRPr="003239A4" w:rsidRDefault="007809E5" w:rsidP="007809E5">
      <w:pPr>
        <w:jc w:val="center"/>
        <w:rPr>
          <w:rFonts w:ascii="ＭＳ 明朝" w:eastAsia="ＭＳ 明朝" w:hAnsi="ＭＳ 明朝" w:hint="eastAsia"/>
          <w:b/>
        </w:rPr>
      </w:pPr>
    </w:p>
    <w:p w14:paraId="6B14E064" w14:textId="5DCACFDB" w:rsidR="003239A4" w:rsidRPr="003239A4" w:rsidRDefault="007809E5" w:rsidP="003239A4">
      <w:pPr>
        <w:rPr>
          <w:rFonts w:ascii="ＭＳ 明朝" w:eastAsia="ＭＳ 明朝" w:hAnsi="ＭＳ 明朝"/>
          <w:b/>
        </w:rPr>
      </w:pPr>
      <w:r>
        <w:rPr>
          <w:rFonts w:ascii="ＭＳ 明朝" w:eastAsia="ＭＳ 明朝" w:hAnsi="ＭＳ 明朝" w:hint="eastAsia"/>
          <w:b/>
        </w:rPr>
        <w:t xml:space="preserve">１　</w:t>
      </w:r>
      <w:r w:rsidR="003239A4" w:rsidRPr="003239A4">
        <w:rPr>
          <w:rFonts w:ascii="ＭＳ 明朝" w:eastAsia="ＭＳ 明朝" w:hAnsi="ＭＳ 明朝" w:hint="eastAsia"/>
          <w:b/>
        </w:rPr>
        <w:t>条例と民泊特別部会について</w:t>
      </w:r>
    </w:p>
    <w:p w14:paraId="1AF153FE" w14:textId="0F11EE50" w:rsidR="003239A4" w:rsidRPr="003239A4" w:rsidRDefault="003239A4" w:rsidP="00546078">
      <w:pPr>
        <w:ind w:left="210" w:hangingChars="100" w:hanging="210"/>
        <w:rPr>
          <w:rFonts w:ascii="ＭＳ 明朝" w:eastAsia="ＭＳ 明朝" w:hAnsi="ＭＳ 明朝"/>
        </w:rPr>
      </w:pPr>
      <w:r w:rsidRPr="003239A4">
        <w:rPr>
          <w:rFonts w:ascii="ＭＳ 明朝" w:eastAsia="ＭＳ 明朝" w:hAnsi="ＭＳ 明朝" w:hint="eastAsia"/>
        </w:rPr>
        <w:t>・　住宅宿泊事業法が平成30年６月に施行されたことに伴い、住宅宿泊事業の実施により懸念される生活環境の悪化を防止するため、</w:t>
      </w:r>
      <w:r w:rsidRPr="003239A4">
        <w:rPr>
          <w:rFonts w:ascii="ＭＳ 明朝" w:eastAsia="ＭＳ 明朝" w:hAnsi="ＭＳ 明朝" w:hint="eastAsia"/>
          <w:b/>
        </w:rPr>
        <w:t>住宅宿泊事業法施行条例（以下、「条例」という。）</w:t>
      </w:r>
      <w:r w:rsidRPr="003239A4">
        <w:rPr>
          <w:rFonts w:ascii="ＭＳ 明朝" w:eastAsia="ＭＳ 明朝" w:hAnsi="ＭＳ 明朝" w:hint="eastAsia"/>
        </w:rPr>
        <w:t>を平成31年２月１日に施行</w:t>
      </w:r>
    </w:p>
    <w:p w14:paraId="372FEDE6" w14:textId="5E70968D" w:rsidR="003239A4" w:rsidRPr="003239A4" w:rsidRDefault="005E7774" w:rsidP="00546078">
      <w:pPr>
        <w:ind w:left="210" w:hangingChars="100" w:hanging="210"/>
        <w:rPr>
          <w:rFonts w:ascii="ＭＳ 明朝" w:eastAsia="ＭＳ 明朝" w:hAnsi="ＭＳ 明朝"/>
        </w:rPr>
      </w:pPr>
      <w:r w:rsidRPr="003239A4">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6047F9DD" wp14:editId="1C4B711D">
                <wp:simplePos x="0" y="0"/>
                <wp:positionH relativeFrom="margin">
                  <wp:align>left</wp:align>
                </wp:positionH>
                <wp:positionV relativeFrom="paragraph">
                  <wp:posOffset>694690</wp:posOffset>
                </wp:positionV>
                <wp:extent cx="1828800" cy="626110"/>
                <wp:effectExtent l="0" t="0" r="22860" b="21590"/>
                <wp:wrapSquare wrapText="bothSides"/>
                <wp:docPr id="7" name="テキスト ボックス 7"/>
                <wp:cNvGraphicFramePr/>
                <a:graphic xmlns:a="http://schemas.openxmlformats.org/drawingml/2006/main">
                  <a:graphicData uri="http://schemas.microsoft.com/office/word/2010/wordprocessingShape">
                    <wps:wsp>
                      <wps:cNvSpPr txBox="1"/>
                      <wps:spPr>
                        <a:xfrm>
                          <a:off x="0" y="0"/>
                          <a:ext cx="1828800" cy="626110"/>
                        </a:xfrm>
                        <a:prstGeom prst="rect">
                          <a:avLst/>
                        </a:prstGeom>
                        <a:noFill/>
                        <a:ln w="6350">
                          <a:solidFill>
                            <a:prstClr val="black"/>
                          </a:solidFill>
                        </a:ln>
                      </wps:spPr>
                      <wps:txbx>
                        <w:txbxContent>
                          <w:p w14:paraId="4F2EA92B" w14:textId="77777777" w:rsidR="003239A4" w:rsidRDefault="003239A4" w:rsidP="003239A4">
                            <w:pPr>
                              <w:spacing w:line="280" w:lineRule="exact"/>
                              <w:ind w:left="960" w:hangingChars="400" w:hanging="96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条例</w:t>
                            </w:r>
                            <w:r>
                              <w:rPr>
                                <w:rFonts w:asciiTheme="minorEastAsia" w:hAnsiTheme="minorEastAsia" w:hint="eastAsia"/>
                                <w:sz w:val="24"/>
                                <w:szCs w:val="24"/>
                              </w:rPr>
                              <w:t>附則</w:t>
                            </w:r>
                            <w:r>
                              <w:rPr>
                                <w:rFonts w:asciiTheme="minorEastAsia" w:hAnsiTheme="minorEastAsia"/>
                                <w:sz w:val="24"/>
                                <w:szCs w:val="24"/>
                              </w:rPr>
                              <w:t>第３項</w:t>
                            </w:r>
                          </w:p>
                          <w:p w14:paraId="4C1CC31E" w14:textId="77777777" w:rsidR="003239A4" w:rsidRPr="00DE081E" w:rsidRDefault="003239A4" w:rsidP="003239A4">
                            <w:pPr>
                              <w:spacing w:line="280" w:lineRule="exact"/>
                              <w:ind w:leftChars="92" w:left="193"/>
                              <w:rPr>
                                <w:rFonts w:ascii="ＭＳ ゴシック" w:eastAsia="ＭＳ ゴシック" w:hAnsi="ＭＳ ゴシック"/>
                                <w:b/>
                                <w:sz w:val="24"/>
                                <w:szCs w:val="24"/>
                              </w:rPr>
                            </w:pPr>
                            <w:r w:rsidRPr="009E4C51">
                              <w:rPr>
                                <w:rFonts w:asciiTheme="minorEastAsia" w:hAnsiTheme="minorEastAsia" w:hint="eastAsia"/>
                                <w:sz w:val="24"/>
                                <w:szCs w:val="24"/>
                              </w:rPr>
                              <w:t>知事はこの</w:t>
                            </w:r>
                            <w:r w:rsidRPr="009E4C51">
                              <w:rPr>
                                <w:rFonts w:ascii="ＭＳ ゴシック" w:eastAsia="ＭＳ ゴシック" w:hAnsi="ＭＳ ゴシック" w:hint="eastAsia"/>
                                <w:b/>
                                <w:sz w:val="24"/>
                                <w:szCs w:val="24"/>
                              </w:rPr>
                              <w:t>条例の施行後３年を目途</w:t>
                            </w:r>
                            <w:r w:rsidRPr="009E4C51">
                              <w:rPr>
                                <w:rFonts w:asciiTheme="minorEastAsia" w:hAnsiTheme="minorEastAsia" w:hint="eastAsia"/>
                                <w:sz w:val="24"/>
                                <w:szCs w:val="24"/>
                              </w:rPr>
                              <w:t>として、この</w:t>
                            </w:r>
                            <w:r w:rsidRPr="009E4C51">
                              <w:rPr>
                                <w:rFonts w:ascii="ＭＳ ゴシック" w:eastAsia="ＭＳ ゴシック" w:hAnsi="ＭＳ ゴシック" w:hint="eastAsia"/>
                                <w:b/>
                                <w:sz w:val="24"/>
                                <w:szCs w:val="24"/>
                              </w:rPr>
                              <w:t>条例の施行の状況について検討</w:t>
                            </w:r>
                            <w:r w:rsidRPr="009E4C51">
                              <w:rPr>
                                <w:rFonts w:asciiTheme="minorEastAsia" w:hAnsiTheme="minorEastAsia" w:hint="eastAsia"/>
                                <w:sz w:val="24"/>
                                <w:szCs w:val="24"/>
                              </w:rPr>
                              <w:t>を加え、その結果に基づいて必要な措置を講ずるものとする。</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047F9DD" id="テキスト ボックス 7" o:spid="_x0000_s1027" type="#_x0000_t202" style="position:absolute;left:0;text-align:left;margin-left:0;margin-top:54.7pt;width:2in;height:49.3pt;z-index:251659264;visibility:visible;mso-wrap-style:non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" filled="f" strokeweight=".5pt">
                <v:textbox inset="5.85pt,.7pt,5.85pt,.7pt">
                  <w:txbxContent>
                    <w:p w14:paraId="4F2EA92B" w14:textId="77777777" w:rsidR="003239A4" w:rsidRDefault="003239A4" w:rsidP="003239A4">
                      <w:pPr>
                        <w:spacing w:line="280" w:lineRule="exact"/>
                        <w:ind w:left="960" w:hangingChars="400" w:hanging="96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条例</w:t>
                      </w:r>
                      <w:r>
                        <w:rPr>
                          <w:rFonts w:asciiTheme="minorEastAsia" w:hAnsiTheme="minorEastAsia" w:hint="eastAsia"/>
                          <w:sz w:val="24"/>
                          <w:szCs w:val="24"/>
                        </w:rPr>
                        <w:t>附則</w:t>
                      </w:r>
                      <w:r>
                        <w:rPr>
                          <w:rFonts w:asciiTheme="minorEastAsia" w:hAnsiTheme="minorEastAsia"/>
                          <w:sz w:val="24"/>
                          <w:szCs w:val="24"/>
                        </w:rPr>
                        <w:t>第３項</w:t>
                      </w:r>
                    </w:p>
                    <w:p w14:paraId="4C1CC31E" w14:textId="77777777" w:rsidR="003239A4" w:rsidRPr="00DE081E" w:rsidRDefault="003239A4" w:rsidP="003239A4">
                      <w:pPr>
                        <w:spacing w:line="280" w:lineRule="exact"/>
                        <w:ind w:leftChars="92" w:left="193"/>
                        <w:rPr>
                          <w:rFonts w:ascii="ＭＳ ゴシック" w:eastAsia="ＭＳ ゴシック" w:hAnsi="ＭＳ ゴシック"/>
                          <w:b/>
                          <w:sz w:val="24"/>
                          <w:szCs w:val="24"/>
                        </w:rPr>
                      </w:pPr>
                      <w:r w:rsidRPr="009E4C51">
                        <w:rPr>
                          <w:rFonts w:asciiTheme="minorEastAsia" w:hAnsiTheme="minorEastAsia" w:hint="eastAsia"/>
                          <w:sz w:val="24"/>
                          <w:szCs w:val="24"/>
                        </w:rPr>
                        <w:t>知事はこの</w:t>
                      </w:r>
                      <w:r w:rsidRPr="009E4C51">
                        <w:rPr>
                          <w:rFonts w:ascii="ＭＳ ゴシック" w:eastAsia="ＭＳ ゴシック" w:hAnsi="ＭＳ ゴシック" w:hint="eastAsia"/>
                          <w:b/>
                          <w:sz w:val="24"/>
                          <w:szCs w:val="24"/>
                        </w:rPr>
                        <w:t>条例の施行後３年を目途</w:t>
                      </w:r>
                      <w:r w:rsidRPr="009E4C51">
                        <w:rPr>
                          <w:rFonts w:asciiTheme="minorEastAsia" w:hAnsiTheme="minorEastAsia" w:hint="eastAsia"/>
                          <w:sz w:val="24"/>
                          <w:szCs w:val="24"/>
                        </w:rPr>
                        <w:t>として、この</w:t>
                      </w:r>
                      <w:r w:rsidRPr="009E4C51">
                        <w:rPr>
                          <w:rFonts w:ascii="ＭＳ ゴシック" w:eastAsia="ＭＳ ゴシック" w:hAnsi="ＭＳ ゴシック" w:hint="eastAsia"/>
                          <w:b/>
                          <w:sz w:val="24"/>
                          <w:szCs w:val="24"/>
                        </w:rPr>
                        <w:t>条例の施行の状況について検討</w:t>
                      </w:r>
                      <w:r w:rsidRPr="009E4C51">
                        <w:rPr>
                          <w:rFonts w:asciiTheme="minorEastAsia" w:hAnsiTheme="minorEastAsia" w:hint="eastAsia"/>
                          <w:sz w:val="24"/>
                          <w:szCs w:val="24"/>
                        </w:rPr>
                        <w:t>を加え、その結果に基づいて必要な措置を講ずるものとする。</w:t>
                      </w:r>
                    </w:p>
                  </w:txbxContent>
                </v:textbox>
                <w10:wrap type="square" anchorx="margin"/>
              </v:shape>
            </w:pict>
          </mc:Fallback>
        </mc:AlternateContent>
      </w:r>
      <w:r w:rsidR="003239A4" w:rsidRPr="003239A4">
        <w:rPr>
          <w:rFonts w:ascii="ＭＳ 明朝" w:eastAsia="ＭＳ 明朝" w:hAnsi="ＭＳ 明朝" w:hint="eastAsia"/>
        </w:rPr>
        <w:t>・　条例附則第３項に基づき、</w:t>
      </w:r>
      <w:r w:rsidR="003239A4" w:rsidRPr="003239A4">
        <w:rPr>
          <w:rFonts w:ascii="ＭＳ 明朝" w:eastAsia="ＭＳ 明朝" w:hAnsi="ＭＳ 明朝" w:hint="eastAsia"/>
          <w:b/>
        </w:rPr>
        <w:t>条例の施行後</w:t>
      </w:r>
      <w:r w:rsidR="003239A4" w:rsidRPr="003239A4">
        <w:rPr>
          <w:rFonts w:ascii="ＭＳ 明朝" w:eastAsia="ＭＳ 明朝" w:hAnsi="ＭＳ 明朝" w:hint="eastAsia"/>
        </w:rPr>
        <w:t>における環境の変化を踏まえた生活環境の保全のあり方等について検討し、</w:t>
      </w:r>
      <w:r w:rsidR="003239A4" w:rsidRPr="003239A4">
        <w:rPr>
          <w:rFonts w:ascii="ＭＳ 明朝" w:eastAsia="ＭＳ 明朝" w:hAnsi="ＭＳ 明朝" w:hint="eastAsia"/>
          <w:b/>
        </w:rPr>
        <w:t>必要な措置について審議するため環境審議会に民泊特別部会を設置</w:t>
      </w:r>
    </w:p>
    <w:p w14:paraId="170F8E45" w14:textId="3E89F413" w:rsidR="00EF377D" w:rsidRDefault="00EF377D" w:rsidP="003239A4">
      <w:pPr>
        <w:rPr>
          <w:rFonts w:ascii="ＭＳ 明朝" w:eastAsia="ＭＳ 明朝" w:hAnsi="ＭＳ 明朝"/>
          <w:b/>
        </w:rPr>
      </w:pPr>
    </w:p>
    <w:p w14:paraId="0608C7EC" w14:textId="0A30D43A" w:rsidR="00546078" w:rsidRDefault="007809E5" w:rsidP="003239A4">
      <w:pPr>
        <w:rPr>
          <w:rFonts w:ascii="ＭＳ 明朝" w:eastAsia="ＭＳ 明朝" w:hAnsi="ＭＳ 明朝"/>
        </w:rPr>
      </w:pPr>
      <w:r>
        <w:rPr>
          <w:rFonts w:ascii="ＭＳ 明朝" w:eastAsia="ＭＳ 明朝" w:hAnsi="ＭＳ 明朝" w:hint="eastAsia"/>
          <w:b/>
        </w:rPr>
        <w:t xml:space="preserve">２　</w:t>
      </w:r>
      <w:r w:rsidR="00546078" w:rsidRPr="00546078">
        <w:rPr>
          <w:rFonts w:ascii="ＭＳ 明朝" w:eastAsia="ＭＳ 明朝" w:hAnsi="ＭＳ 明朝" w:hint="eastAsia"/>
          <w:b/>
        </w:rPr>
        <w:t>検討結果等について</w:t>
      </w:r>
    </w:p>
    <w:p w14:paraId="44C653FD" w14:textId="107A7A70" w:rsidR="003239A4" w:rsidRPr="003239A4" w:rsidRDefault="003239A4" w:rsidP="00546078">
      <w:pPr>
        <w:ind w:left="210" w:hangingChars="100" w:hanging="210"/>
        <w:rPr>
          <w:rFonts w:ascii="ＭＳ 明朝" w:eastAsia="ＭＳ 明朝" w:hAnsi="ＭＳ 明朝"/>
        </w:rPr>
      </w:pPr>
      <w:r w:rsidRPr="003239A4">
        <w:rPr>
          <w:rFonts w:ascii="ＭＳ 明朝" w:eastAsia="ＭＳ 明朝" w:hAnsi="ＭＳ 明朝" w:hint="eastAsia"/>
        </w:rPr>
        <w:t xml:space="preserve">・　</w:t>
      </w:r>
      <w:r w:rsidR="00546078" w:rsidRPr="00546078">
        <w:rPr>
          <w:rFonts w:ascii="ＭＳ 明朝" w:eastAsia="ＭＳ 明朝" w:hAnsi="ＭＳ 明朝" w:hint="eastAsia"/>
        </w:rPr>
        <w:t>条例施行後３年にあたる</w:t>
      </w:r>
      <w:r w:rsidR="00546078" w:rsidRPr="00546078">
        <w:rPr>
          <w:rFonts w:ascii="ＭＳ 明朝" w:eastAsia="ＭＳ 明朝" w:hAnsi="ＭＳ 明朝" w:hint="eastAsia"/>
          <w:b/>
        </w:rPr>
        <w:t>令和３年度の民泊特別部会</w:t>
      </w:r>
      <w:r w:rsidR="00546078" w:rsidRPr="00546078">
        <w:rPr>
          <w:rFonts w:ascii="ＭＳ 明朝" w:eastAsia="ＭＳ 明朝" w:hAnsi="ＭＳ 明朝" w:hint="eastAsia"/>
        </w:rPr>
        <w:t>において、「当面現状を維持することが適当であり、</w:t>
      </w:r>
      <w:r w:rsidR="00546078" w:rsidRPr="00546078">
        <w:rPr>
          <w:rFonts w:ascii="ＭＳ 明朝" w:eastAsia="ＭＳ 明朝" w:hAnsi="ＭＳ 明朝" w:hint="eastAsia"/>
          <w:b/>
        </w:rPr>
        <w:t>条例改正は要しない</w:t>
      </w:r>
      <w:r w:rsidR="00546078" w:rsidRPr="00546078">
        <w:rPr>
          <w:rFonts w:ascii="ＭＳ 明朝" w:eastAsia="ＭＳ 明朝" w:hAnsi="ＭＳ 明朝" w:hint="eastAsia"/>
        </w:rPr>
        <w:t>」</w:t>
      </w:r>
      <w:r w:rsidR="00546078" w:rsidRPr="00546078">
        <w:rPr>
          <w:rFonts w:ascii="ＭＳ 明朝" w:eastAsia="ＭＳ 明朝" w:hAnsi="ＭＳ 明朝" w:hint="eastAsia"/>
          <w:b/>
          <w:bCs/>
        </w:rPr>
        <w:t>とする報告書</w:t>
      </w:r>
      <w:r w:rsidR="00546078" w:rsidRPr="00546078">
        <w:rPr>
          <w:rFonts w:ascii="ＭＳ 明朝" w:eastAsia="ＭＳ 明朝" w:hAnsi="ＭＳ 明朝" w:hint="eastAsia"/>
        </w:rPr>
        <w:t>を取りまとめたことを受け、</w:t>
      </w:r>
      <w:r w:rsidR="00546078" w:rsidRPr="00546078">
        <w:rPr>
          <w:rFonts w:ascii="ＭＳ 明朝" w:eastAsia="ＭＳ 明朝" w:hAnsi="ＭＳ 明朝" w:hint="eastAsia"/>
          <w:b/>
          <w:bCs/>
        </w:rPr>
        <w:t>条例改正は行わない</w:t>
      </w:r>
      <w:r w:rsidR="00546078" w:rsidRPr="00546078">
        <w:rPr>
          <w:rFonts w:ascii="ＭＳ 明朝" w:eastAsia="ＭＳ 明朝" w:hAnsi="ＭＳ 明朝" w:hint="eastAsia"/>
        </w:rPr>
        <w:t>こととした。</w:t>
      </w:r>
    </w:p>
    <w:p w14:paraId="2EFB578C" w14:textId="557AD050" w:rsidR="003239A4" w:rsidRPr="00CE79A6" w:rsidRDefault="003239A4" w:rsidP="00546078">
      <w:pPr>
        <w:ind w:left="210" w:hangingChars="100" w:hanging="210"/>
        <w:rPr>
          <w:rFonts w:ascii="ＭＳ 明朝" w:eastAsia="ＭＳ 明朝" w:hAnsi="ＭＳ 明朝"/>
        </w:rPr>
      </w:pPr>
      <w:r w:rsidRPr="00CE79A6">
        <w:rPr>
          <w:rFonts w:ascii="ＭＳ 明朝" w:eastAsia="ＭＳ 明朝" w:hAnsi="ＭＳ 明朝" w:hint="eastAsia"/>
        </w:rPr>
        <w:t>・　ただし、新型コロナウイルス感染症の影響下という特殊な状況であったことから、</w:t>
      </w:r>
      <w:r w:rsidRPr="00CE79A6">
        <w:rPr>
          <w:rFonts w:ascii="ＭＳ 明朝" w:eastAsia="ＭＳ 明朝" w:hAnsi="ＭＳ 明朝" w:hint="eastAsia"/>
          <w:b/>
        </w:rPr>
        <w:t>新型コロナ５類移行後から３年後の令和７年度末を目途に部会を開催</w:t>
      </w:r>
      <w:r w:rsidRPr="00CE79A6">
        <w:rPr>
          <w:rFonts w:ascii="ＭＳ 明朝" w:eastAsia="ＭＳ 明朝" w:hAnsi="ＭＳ 明朝" w:hint="eastAsia"/>
        </w:rPr>
        <w:t>し、</w:t>
      </w:r>
      <w:r w:rsidRPr="00CE79A6">
        <w:rPr>
          <w:rFonts w:ascii="ＭＳ 明朝" w:eastAsia="ＭＳ 明朝" w:hAnsi="ＭＳ 明朝" w:hint="eastAsia"/>
          <w:b/>
        </w:rPr>
        <w:t>改めて条例改正の必要性について審議</w:t>
      </w:r>
      <w:r w:rsidRPr="00CE79A6">
        <w:rPr>
          <w:rFonts w:ascii="ＭＳ 明朝" w:eastAsia="ＭＳ 明朝" w:hAnsi="ＭＳ 明朝" w:hint="eastAsia"/>
        </w:rPr>
        <w:t>を行うことと</w:t>
      </w:r>
      <w:r w:rsidR="00546078">
        <w:rPr>
          <w:rFonts w:ascii="ＭＳ 明朝" w:eastAsia="ＭＳ 明朝" w:hAnsi="ＭＳ 明朝" w:hint="eastAsia"/>
        </w:rPr>
        <w:t>したもの</w:t>
      </w:r>
      <w:r w:rsidR="00CE79A6" w:rsidRPr="00CE79A6">
        <w:rPr>
          <w:rFonts w:ascii="ＭＳ 明朝" w:eastAsia="ＭＳ 明朝" w:hAnsi="ＭＳ 明朝" w:hint="eastAsia"/>
        </w:rPr>
        <w:t>。</w:t>
      </w:r>
    </w:p>
    <w:p w14:paraId="3AEEAF93" w14:textId="77777777" w:rsidR="00CE79A6" w:rsidRPr="00CE79A6" w:rsidRDefault="00CE79A6" w:rsidP="003239A4">
      <w:pPr>
        <w:rPr>
          <w:rFonts w:ascii="ＭＳ 明朝" w:eastAsia="ＭＳ 明朝" w:hAnsi="ＭＳ 明朝"/>
        </w:rPr>
      </w:pPr>
    </w:p>
    <w:sectPr w:rsidR="00CE79A6" w:rsidRPr="00CE79A6" w:rsidSect="007809E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9A4"/>
    <w:rsid w:val="003239A4"/>
    <w:rsid w:val="00344A53"/>
    <w:rsid w:val="00546078"/>
    <w:rsid w:val="0057730A"/>
    <w:rsid w:val="005E7774"/>
    <w:rsid w:val="007809E5"/>
    <w:rsid w:val="00905342"/>
    <w:rsid w:val="009B5BB4"/>
    <w:rsid w:val="00AA249F"/>
    <w:rsid w:val="00B35711"/>
    <w:rsid w:val="00CE79A6"/>
    <w:rsid w:val="00EF3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E74D70"/>
  <w15:chartTrackingRefBased/>
  <w15:docId w15:val="{C4D49292-C0DE-48B5-8F99-E0CBAE00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239A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239A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239A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239A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239A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239A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239A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239A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239A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239A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239A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239A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239A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239A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239A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239A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239A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239A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239A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239A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239A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239A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239A4"/>
    <w:pPr>
      <w:spacing w:before="160" w:after="160"/>
      <w:jc w:val="center"/>
    </w:pPr>
    <w:rPr>
      <w:i/>
      <w:iCs/>
      <w:color w:val="404040" w:themeColor="text1" w:themeTint="BF"/>
    </w:rPr>
  </w:style>
  <w:style w:type="character" w:customStyle="1" w:styleId="a8">
    <w:name w:val="引用文 (文字)"/>
    <w:basedOn w:val="a0"/>
    <w:link w:val="a7"/>
    <w:uiPriority w:val="29"/>
    <w:rsid w:val="003239A4"/>
    <w:rPr>
      <w:i/>
      <w:iCs/>
      <w:color w:val="404040" w:themeColor="text1" w:themeTint="BF"/>
    </w:rPr>
  </w:style>
  <w:style w:type="paragraph" w:styleId="a9">
    <w:name w:val="List Paragraph"/>
    <w:basedOn w:val="a"/>
    <w:uiPriority w:val="34"/>
    <w:qFormat/>
    <w:rsid w:val="003239A4"/>
    <w:pPr>
      <w:ind w:left="720"/>
      <w:contextualSpacing/>
    </w:pPr>
  </w:style>
  <w:style w:type="character" w:styleId="21">
    <w:name w:val="Intense Emphasis"/>
    <w:basedOn w:val="a0"/>
    <w:uiPriority w:val="21"/>
    <w:qFormat/>
    <w:rsid w:val="003239A4"/>
    <w:rPr>
      <w:i/>
      <w:iCs/>
      <w:color w:val="2E74B5" w:themeColor="accent1" w:themeShade="BF"/>
    </w:rPr>
  </w:style>
  <w:style w:type="paragraph" w:styleId="22">
    <w:name w:val="Intense Quote"/>
    <w:basedOn w:val="a"/>
    <w:next w:val="a"/>
    <w:link w:val="23"/>
    <w:uiPriority w:val="30"/>
    <w:qFormat/>
    <w:rsid w:val="003239A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23">
    <w:name w:val="引用文 2 (文字)"/>
    <w:basedOn w:val="a0"/>
    <w:link w:val="22"/>
    <w:uiPriority w:val="30"/>
    <w:rsid w:val="003239A4"/>
    <w:rPr>
      <w:i/>
      <w:iCs/>
      <w:color w:val="2E74B5" w:themeColor="accent1" w:themeShade="BF"/>
    </w:rPr>
  </w:style>
  <w:style w:type="character" w:styleId="24">
    <w:name w:val="Intense Reference"/>
    <w:basedOn w:val="a0"/>
    <w:uiPriority w:val="32"/>
    <w:qFormat/>
    <w:rsid w:val="003239A4"/>
    <w:rPr>
      <w:b/>
      <w:bCs/>
      <w:smallCaps/>
      <w:color w:val="2E74B5" w:themeColor="accent1" w:themeShade="BF"/>
      <w:spacing w:val="5"/>
    </w:rPr>
  </w:style>
  <w:style w:type="table" w:styleId="aa">
    <w:name w:val="Table Grid"/>
    <w:basedOn w:val="a1"/>
    <w:uiPriority w:val="39"/>
    <w:rsid w:val="00CE79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62</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小野寺 智己</dc:creator>
  <cp:keywords/>
  <dc:description/>
  <cp:lastModifiedBy>小野寺 智己</cp:lastModifiedBy>
  <cp:revision>6</cp:revision>
  <cp:lastPrinted>2026-01-15T00:46:00Z</cp:lastPrinted>
  <dcterms:created xsi:type="dcterms:W3CDTF">2026-01-13T00:50:00Z</dcterms:created>
  <dcterms:modified xsi:type="dcterms:W3CDTF">2026-01-15T01:30:00Z</dcterms:modified>
</cp:coreProperties>
</file>